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DEC" w:rsidRDefault="00A90DEC">
      <w:pPr>
        <w:spacing w:line="620" w:lineRule="exact"/>
        <w:ind w:firstLine="655"/>
      </w:pPr>
    </w:p>
    <w:p w:rsidR="00A90DEC" w:rsidRDefault="00A90DEC">
      <w:pPr>
        <w:spacing w:line="520" w:lineRule="exact"/>
        <w:ind w:firstLine="658"/>
      </w:pPr>
    </w:p>
    <w:p w:rsidR="00A90DEC" w:rsidRDefault="00A90DEC">
      <w:pPr>
        <w:spacing w:line="620" w:lineRule="exact"/>
        <w:ind w:firstLine="655"/>
      </w:pPr>
    </w:p>
    <w:p w:rsidR="00A90DEC" w:rsidRDefault="00A90DEC">
      <w:pPr>
        <w:spacing w:line="620" w:lineRule="exact"/>
        <w:ind w:firstLine="655"/>
      </w:pPr>
    </w:p>
    <w:p w:rsidR="00A90DEC" w:rsidRDefault="00A90DEC">
      <w:pPr>
        <w:spacing w:line="620" w:lineRule="exact"/>
        <w:ind w:firstLine="655"/>
      </w:pPr>
    </w:p>
    <w:p w:rsidR="00A90DEC" w:rsidRDefault="00A90DEC">
      <w:pPr>
        <w:spacing w:line="620" w:lineRule="exact"/>
        <w:ind w:firstLine="655"/>
      </w:pPr>
    </w:p>
    <w:p w:rsidR="00A90DEC" w:rsidRDefault="00A90DEC">
      <w:pPr>
        <w:spacing w:line="300" w:lineRule="exact"/>
        <w:ind w:firstLine="655"/>
      </w:pPr>
    </w:p>
    <w:p w:rsidR="00CA53B5" w:rsidRDefault="00CA53B5" w:rsidP="00CA53B5">
      <w:pPr>
        <w:rPr>
          <w:rFonts w:ascii="Times New Roman" w:eastAsia="方正小标宋简体" w:hAnsi="Times New Roman" w:cs="Times New Roman"/>
          <w:sz w:val="40"/>
          <w:szCs w:val="40"/>
        </w:rPr>
      </w:pPr>
    </w:p>
    <w:p w:rsidR="00A90DEC" w:rsidRDefault="00CA53B5">
      <w:pPr>
        <w:spacing w:line="620" w:lineRule="exact"/>
        <w:jc w:val="cente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湘植保〔</w:t>
      </w:r>
      <w:r>
        <w:rPr>
          <w:rFonts w:ascii="Times New Roman" w:eastAsia="仿宋_GB2312" w:hAnsi="Times New Roman" w:cs="Times New Roman"/>
          <w:color w:val="000000"/>
          <w:sz w:val="32"/>
          <w:szCs w:val="32"/>
        </w:rPr>
        <w:t>20</w:t>
      </w:r>
      <w:r>
        <w:rPr>
          <w:rFonts w:ascii="Times New Roman" w:eastAsia="仿宋_GB2312" w:hAnsi="Times New Roman" w:cs="Times New Roman" w:hint="eastAsia"/>
          <w:color w:val="000000"/>
          <w:sz w:val="32"/>
          <w:szCs w:val="32"/>
        </w:rPr>
        <w:t>21</w:t>
      </w:r>
      <w:r>
        <w:rPr>
          <w:rFonts w:ascii="Times New Roman" w:eastAsia="仿宋_GB2312" w:hAnsi="Times New Roman" w:cs="Times New Roman"/>
          <w:color w:val="000000"/>
          <w:sz w:val="32"/>
          <w:szCs w:val="32"/>
        </w:rPr>
        <w:t>〕</w:t>
      </w:r>
      <w:r>
        <w:rPr>
          <w:rFonts w:ascii="Times New Roman" w:eastAsia="仿宋_GB2312" w:hAnsi="Times New Roman" w:cs="Times New Roman" w:hint="eastAsia"/>
          <w:color w:val="000000"/>
          <w:sz w:val="32"/>
          <w:szCs w:val="32"/>
        </w:rPr>
        <w:t>9</w:t>
      </w:r>
      <w:r>
        <w:rPr>
          <w:rFonts w:ascii="Times New Roman" w:eastAsia="仿宋_GB2312" w:hAnsi="Times New Roman" w:cs="Times New Roman"/>
          <w:color w:val="000000"/>
          <w:sz w:val="32"/>
          <w:szCs w:val="32"/>
        </w:rPr>
        <w:t>号</w:t>
      </w:r>
    </w:p>
    <w:p w:rsidR="00A90DEC" w:rsidRDefault="00A90DEC">
      <w:pPr>
        <w:widowControl/>
        <w:spacing w:line="200" w:lineRule="exact"/>
        <w:jc w:val="center"/>
        <w:rPr>
          <w:rFonts w:ascii="方正小标宋简体" w:eastAsia="方正小标宋简体" w:hAnsi="Times New Roman" w:cs="Times New Roman"/>
          <w:sz w:val="44"/>
          <w:szCs w:val="44"/>
        </w:rPr>
      </w:pPr>
    </w:p>
    <w:p w:rsidR="00A90DEC" w:rsidRDefault="00A90DEC">
      <w:pPr>
        <w:widowControl/>
        <w:spacing w:line="570" w:lineRule="exact"/>
        <w:jc w:val="center"/>
        <w:rPr>
          <w:rFonts w:ascii="方正小标宋简体" w:eastAsia="方正小标宋简体" w:hAnsi="Times New Roman" w:cs="Times New Roman"/>
          <w:sz w:val="44"/>
          <w:szCs w:val="44"/>
        </w:rPr>
      </w:pPr>
    </w:p>
    <w:p w:rsidR="00A90DEC" w:rsidRDefault="008E561F">
      <w:pPr>
        <w:spacing w:line="72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关于印发《湖南省</w:t>
      </w:r>
      <w:r>
        <w:rPr>
          <w:rFonts w:ascii="Times New Roman" w:eastAsia="方正小标宋简体" w:hAnsi="Times New Roman" w:cs="Times New Roman"/>
          <w:sz w:val="44"/>
          <w:szCs w:val="44"/>
        </w:rPr>
        <w:t>2021</w:t>
      </w:r>
      <w:r>
        <w:rPr>
          <w:rFonts w:ascii="Times New Roman" w:eastAsia="方正小标宋简体" w:hAnsi="Times New Roman" w:cs="Times New Roman"/>
          <w:sz w:val="44"/>
          <w:szCs w:val="44"/>
        </w:rPr>
        <w:t>年粮食作物病虫害</w:t>
      </w:r>
    </w:p>
    <w:p w:rsidR="00A90DEC" w:rsidRDefault="008E561F">
      <w:pPr>
        <w:spacing w:line="72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绿色防控示范创建工作方案》的通知</w:t>
      </w:r>
    </w:p>
    <w:p w:rsidR="00A90DEC" w:rsidRDefault="008E561F">
      <w:pPr>
        <w:spacing w:line="600" w:lineRule="exact"/>
        <w:jc w:val="left"/>
        <w:rPr>
          <w:rFonts w:ascii="Times New Roman" w:eastAsia="仿宋_GB2312" w:hAnsi="Times New Roman" w:cs="Times New Roman"/>
          <w:sz w:val="32"/>
          <w:szCs w:val="32"/>
        </w:rPr>
      </w:pPr>
      <w:bookmarkStart w:id="0" w:name="OLE_LINK1"/>
      <w:r>
        <w:rPr>
          <w:rFonts w:ascii="Times New Roman" w:eastAsia="仿宋_GB2312" w:hAnsi="Times New Roman" w:cs="Times New Roman"/>
          <w:sz w:val="32"/>
          <w:szCs w:val="32"/>
        </w:rPr>
        <w:t>各市州、有关县市区植保植检站（机构）：</w:t>
      </w:r>
    </w:p>
    <w:p w:rsidR="00A90DEC" w:rsidRDefault="008E561F">
      <w:pPr>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现将《湖南省</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年粮食作物病虫害绿色防控示范创建工作方案》印发给你们，</w:t>
      </w:r>
      <w:r>
        <w:rPr>
          <w:rFonts w:ascii="Times New Roman" w:eastAsia="仿宋_GB2312" w:hAnsi="Times New Roman" w:cs="Times New Roman"/>
          <w:sz w:val="32"/>
        </w:rPr>
        <w:t>请结合各地实际，</w:t>
      </w:r>
      <w:r>
        <w:rPr>
          <w:rFonts w:ascii="Times New Roman" w:eastAsia="仿宋_GB2312" w:hAnsi="Times New Roman" w:cs="Times New Roman"/>
          <w:sz w:val="32"/>
          <w:szCs w:val="32"/>
        </w:rPr>
        <w:t>认真抓好落实。</w:t>
      </w:r>
    </w:p>
    <w:p w:rsidR="00A90DEC" w:rsidRDefault="00A90DEC">
      <w:pPr>
        <w:spacing w:line="600" w:lineRule="exact"/>
        <w:ind w:firstLineChars="200" w:firstLine="640"/>
        <w:jc w:val="left"/>
        <w:rPr>
          <w:rFonts w:ascii="Times New Roman" w:eastAsia="仿宋_GB2312" w:hAnsi="Times New Roman" w:cs="Times New Roman"/>
          <w:sz w:val="32"/>
          <w:szCs w:val="32"/>
        </w:rPr>
      </w:pPr>
    </w:p>
    <w:p w:rsidR="00A90DEC" w:rsidRDefault="00A90DEC">
      <w:pPr>
        <w:spacing w:line="600" w:lineRule="exact"/>
        <w:ind w:firstLineChars="200" w:firstLine="640"/>
        <w:jc w:val="left"/>
        <w:rPr>
          <w:rFonts w:ascii="Times New Roman" w:eastAsia="仿宋_GB2312" w:hAnsi="Times New Roman" w:cs="Times New Roman"/>
          <w:sz w:val="32"/>
          <w:szCs w:val="32"/>
        </w:rPr>
      </w:pPr>
    </w:p>
    <w:p w:rsidR="00A90DEC" w:rsidRDefault="008E561F">
      <w:pPr>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湖南省植保植检站</w:t>
      </w:r>
    </w:p>
    <w:p w:rsidR="00A90DEC" w:rsidRDefault="008E561F">
      <w:pPr>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日</w:t>
      </w:r>
    </w:p>
    <w:p w:rsidR="00A90DEC" w:rsidRDefault="00A90DEC">
      <w:pPr>
        <w:spacing w:line="560" w:lineRule="exact"/>
        <w:jc w:val="left"/>
        <w:rPr>
          <w:rFonts w:ascii="Times New Roman" w:eastAsia="仿宋_GB2312" w:hAnsi="Times New Roman" w:cs="Times New Roman"/>
          <w:sz w:val="32"/>
          <w:szCs w:val="32"/>
        </w:rPr>
      </w:pPr>
    </w:p>
    <w:p w:rsidR="00A90DEC" w:rsidRDefault="00A90DEC">
      <w:pPr>
        <w:jc w:val="center"/>
        <w:rPr>
          <w:rFonts w:ascii="Times New Roman" w:eastAsia="方正小标宋简体" w:hAnsi="Times New Roman" w:cs="Times New Roman"/>
          <w:sz w:val="40"/>
          <w:szCs w:val="40"/>
        </w:rPr>
      </w:pPr>
    </w:p>
    <w:p w:rsidR="00A90DEC" w:rsidRDefault="00A90DEC">
      <w:pPr>
        <w:spacing w:line="570" w:lineRule="exact"/>
        <w:jc w:val="center"/>
        <w:rPr>
          <w:rFonts w:ascii="Times New Roman" w:eastAsia="方正小标宋简体" w:hAnsi="Times New Roman" w:cs="Times New Roman"/>
          <w:sz w:val="40"/>
          <w:szCs w:val="40"/>
        </w:rPr>
      </w:pPr>
    </w:p>
    <w:p w:rsidR="00A90DEC" w:rsidRDefault="008E561F">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湖南省</w:t>
      </w:r>
      <w:r>
        <w:rPr>
          <w:rFonts w:ascii="Times New Roman" w:eastAsia="方正小标宋简体" w:hAnsi="Times New Roman" w:cs="Times New Roman"/>
          <w:sz w:val="44"/>
          <w:szCs w:val="44"/>
        </w:rPr>
        <w:t>2021</w:t>
      </w:r>
      <w:r>
        <w:rPr>
          <w:rFonts w:ascii="Times New Roman" w:eastAsia="方正小标宋简体" w:hAnsi="Times New Roman" w:cs="Times New Roman"/>
          <w:sz w:val="44"/>
          <w:szCs w:val="44"/>
        </w:rPr>
        <w:t>年粮食作物病虫害绿色防控</w:t>
      </w:r>
    </w:p>
    <w:p w:rsidR="00A90DEC" w:rsidRDefault="008E561F">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示范创建工作方案</w:t>
      </w:r>
    </w:p>
    <w:p w:rsidR="00A90DEC" w:rsidRDefault="00A90DEC">
      <w:pPr>
        <w:spacing w:line="570" w:lineRule="exact"/>
        <w:jc w:val="center"/>
        <w:rPr>
          <w:rFonts w:ascii="Times New Roman" w:eastAsia="方正小标宋简体" w:hAnsi="Times New Roman" w:cs="Times New Roman"/>
          <w:sz w:val="40"/>
          <w:szCs w:val="40"/>
        </w:rPr>
      </w:pP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今年是</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开局之年，也是建党</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周年，抓好粮食作物病虫害绿色防控工作，护航粮食产业绿色高质高效发展意义重大。为深入贯彻落实中央一号、省委一号文件要求，推进粮食作物病虫害绿色防控示范，推广农作物病虫害绿色防控产品和技术，持续推动农药减量增效，促进农业绿色高质量发展，制定本方案。</w:t>
      </w:r>
    </w:p>
    <w:p w:rsidR="00A90DEC" w:rsidRDefault="008E561F">
      <w:pPr>
        <w:spacing w:line="570" w:lineRule="exact"/>
        <w:ind w:firstLine="640"/>
        <w:rPr>
          <w:rFonts w:ascii="Times New Roman" w:eastAsia="黑体" w:hAnsi="Times New Roman" w:cs="Times New Roman"/>
          <w:sz w:val="32"/>
          <w:szCs w:val="32"/>
        </w:rPr>
      </w:pPr>
      <w:r>
        <w:rPr>
          <w:rFonts w:ascii="Times New Roman" w:eastAsia="黑体" w:hAnsi="Times New Roman" w:cs="Times New Roman"/>
          <w:sz w:val="32"/>
          <w:szCs w:val="32"/>
        </w:rPr>
        <w:t>一、总体思路</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贯彻落实《农作物病虫害防治条例》，坚持</w:t>
      </w:r>
      <w:r>
        <w:rPr>
          <w:rFonts w:ascii="Times New Roman" w:eastAsia="仿宋_GB2312" w:hAnsi="Times New Roman" w:cs="Times New Roman"/>
          <w:sz w:val="32"/>
          <w:szCs w:val="32"/>
        </w:rPr>
        <w:t>“</w:t>
      </w:r>
      <w:r>
        <w:rPr>
          <w:rFonts w:ascii="Times New Roman" w:eastAsia="仿宋_GB2312" w:hAnsi="Times New Roman" w:cs="Times New Roman"/>
          <w:sz w:val="32"/>
          <w:szCs w:val="32"/>
        </w:rPr>
        <w:t>预防为主、综合防治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的植保方针，重点推广农业防治、理化诱控、生物防治、生态</w:t>
      </w:r>
      <w:r>
        <w:rPr>
          <w:rFonts w:ascii="Times New Roman" w:eastAsia="仿宋_GB2312" w:hAnsi="Times New Roman" w:cs="Times New Roman" w:hint="eastAsia"/>
          <w:sz w:val="32"/>
          <w:szCs w:val="32"/>
        </w:rPr>
        <w:t>调</w:t>
      </w:r>
      <w:r>
        <w:rPr>
          <w:rFonts w:ascii="Times New Roman" w:eastAsia="仿宋_GB2312" w:hAnsi="Times New Roman" w:cs="Times New Roman"/>
          <w:sz w:val="32"/>
          <w:szCs w:val="32"/>
        </w:rPr>
        <w:t>控和科学用药等技术措施，打造一批粮食作物病虫害绿色防控展示区，集成展示粮食作物病虫绿色防控产品、技术模式和推广应用机制等，遴选和推广一批农作物病虫害绿色防控优质产品和技术，并通过举办现场观摩培训活动，引领带动全省推广应用。</w:t>
      </w:r>
    </w:p>
    <w:p w:rsidR="00A90DEC" w:rsidRDefault="008E561F">
      <w:pPr>
        <w:spacing w:line="570" w:lineRule="exact"/>
        <w:ind w:firstLine="640"/>
        <w:rPr>
          <w:rFonts w:ascii="Times New Roman" w:eastAsia="黑体" w:hAnsi="Times New Roman" w:cs="Times New Roman"/>
          <w:sz w:val="32"/>
          <w:szCs w:val="32"/>
        </w:rPr>
      </w:pPr>
      <w:r>
        <w:rPr>
          <w:rFonts w:ascii="Times New Roman" w:eastAsia="黑体" w:hAnsi="Times New Roman" w:cs="Times New Roman"/>
          <w:sz w:val="32"/>
          <w:szCs w:val="32"/>
        </w:rPr>
        <w:t>二、目标任务</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各示范区粮食作物病虫害绿色防控主推技术到位率达到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以上，综合防控效果</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以上，病虫危害损失率总体控制在</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以下，化学农药使用量减少</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以上，辐射带动示范县绿色防控覆盖率达到</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以上，通过集成示范，形成可复制、</w:t>
      </w:r>
      <w:r>
        <w:rPr>
          <w:rFonts w:ascii="Times New Roman" w:eastAsia="仿宋_GB2312" w:hAnsi="Times New Roman" w:cs="Times New Roman"/>
          <w:sz w:val="32"/>
          <w:szCs w:val="32"/>
        </w:rPr>
        <w:lastRenderedPageBreak/>
        <w:t>可推广的绿色防控技术体系和统防统治服务模式，带动全省农作物病虫害绿色防控面积达到</w:t>
      </w:r>
      <w:r>
        <w:rPr>
          <w:rFonts w:ascii="Times New Roman" w:eastAsia="仿宋_GB2312" w:hAnsi="Times New Roman" w:cs="Times New Roman"/>
          <w:sz w:val="32"/>
          <w:szCs w:val="32"/>
        </w:rPr>
        <w:t>2500</w:t>
      </w:r>
      <w:r>
        <w:rPr>
          <w:rFonts w:ascii="Times New Roman" w:eastAsia="仿宋_GB2312" w:hAnsi="Times New Roman" w:cs="Times New Roman"/>
          <w:sz w:val="32"/>
          <w:szCs w:val="32"/>
        </w:rPr>
        <w:t>万亩以上，实现农药减量增效，助力农业绿色发展和乡村振兴战略实施。</w:t>
      </w:r>
    </w:p>
    <w:p w:rsidR="00A90DEC" w:rsidRDefault="008E561F">
      <w:pPr>
        <w:spacing w:line="570" w:lineRule="exact"/>
        <w:ind w:firstLine="640"/>
        <w:rPr>
          <w:rFonts w:ascii="Times New Roman" w:eastAsia="黑体" w:hAnsi="Times New Roman" w:cs="Times New Roman"/>
          <w:sz w:val="32"/>
          <w:szCs w:val="32"/>
        </w:rPr>
      </w:pPr>
      <w:r>
        <w:rPr>
          <w:rFonts w:ascii="Times New Roman" w:eastAsia="黑体" w:hAnsi="Times New Roman" w:cs="Times New Roman"/>
          <w:sz w:val="32"/>
          <w:szCs w:val="32"/>
        </w:rPr>
        <w:t>三、项目实施地点和规模</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（一）粮食作物病虫害绿色防控产品与技术集中展示示范县。</w:t>
      </w:r>
      <w:r>
        <w:rPr>
          <w:rFonts w:ascii="Times New Roman" w:eastAsia="仿宋_GB2312" w:hAnsi="Times New Roman" w:cs="Times New Roman"/>
          <w:sz w:val="32"/>
          <w:szCs w:val="32"/>
        </w:rPr>
        <w:t>在赫山区、零陵区开展粮食作物病虫害绿色防控产品与技术集中展示示范县创建，每区各创建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00</w:t>
      </w:r>
      <w:r>
        <w:rPr>
          <w:rFonts w:ascii="Times New Roman" w:eastAsia="仿宋_GB2312" w:hAnsi="Times New Roman" w:cs="Times New Roman"/>
          <w:sz w:val="32"/>
          <w:szCs w:val="32"/>
        </w:rPr>
        <w:t>亩以上的双季稻病虫绿色防控产品与技术集中展示核心示范区，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亩以上的一季稻（中稻）病虫绿色防控产品与技术集中展示核心示范</w:t>
      </w:r>
      <w:r>
        <w:rPr>
          <w:rFonts w:ascii="Times New Roman" w:eastAsia="仿宋_GB2312" w:hAnsi="Times New Roman" w:cs="Times New Roman" w:hint="eastAsia"/>
          <w:sz w:val="32"/>
          <w:szCs w:val="32"/>
        </w:rPr>
        <w:t>区</w:t>
      </w:r>
      <w:r>
        <w:rPr>
          <w:rFonts w:ascii="Times New Roman" w:eastAsia="仿宋_GB2312" w:hAnsi="Times New Roman" w:cs="Times New Roman"/>
          <w:sz w:val="32"/>
          <w:szCs w:val="32"/>
        </w:rPr>
        <w:t>（可结合当地生产特点选择稻油、稻菜、稻肥、稻渔等</w:t>
      </w:r>
      <w:r>
        <w:rPr>
          <w:rFonts w:ascii="Times New Roman" w:eastAsia="仿宋_GB2312" w:hAnsi="Times New Roman" w:cs="Times New Roman"/>
          <w:sz w:val="32"/>
          <w:szCs w:val="32"/>
        </w:rPr>
        <w:t>4</w:t>
      </w:r>
      <w:r>
        <w:rPr>
          <w:rFonts w:ascii="Times New Roman" w:eastAsia="仿宋_GB2312" w:hAnsi="Times New Roman" w:cs="Times New Roman"/>
          <w:sz w:val="32"/>
          <w:szCs w:val="32"/>
        </w:rPr>
        <w:t>种模式的一种），</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300</w:t>
      </w:r>
      <w:r>
        <w:rPr>
          <w:rFonts w:ascii="Times New Roman" w:eastAsia="仿宋_GB2312" w:hAnsi="Times New Roman" w:cs="Times New Roman"/>
          <w:sz w:val="32"/>
          <w:szCs w:val="32"/>
        </w:rPr>
        <w:t>亩以上的玉米病虫害绿色防控产品与技术集中展示核心示范</w:t>
      </w:r>
      <w:r>
        <w:rPr>
          <w:rFonts w:ascii="Times New Roman" w:eastAsia="仿宋_GB2312" w:hAnsi="Times New Roman" w:cs="Times New Roman" w:hint="eastAsia"/>
          <w:sz w:val="32"/>
          <w:szCs w:val="32"/>
        </w:rPr>
        <w:t>区</w:t>
      </w:r>
      <w:r>
        <w:rPr>
          <w:rFonts w:ascii="Times New Roman" w:eastAsia="仿宋_GB2312" w:hAnsi="Times New Roman" w:cs="Times New Roman"/>
          <w:sz w:val="32"/>
          <w:szCs w:val="32"/>
        </w:rPr>
        <w:t>。每个示范</w:t>
      </w:r>
      <w:r>
        <w:rPr>
          <w:rFonts w:ascii="Times New Roman" w:eastAsia="仿宋_GB2312" w:hAnsi="Times New Roman" w:cs="Times New Roman" w:hint="eastAsia"/>
          <w:sz w:val="32"/>
          <w:szCs w:val="32"/>
        </w:rPr>
        <w:t>区</w:t>
      </w:r>
      <w:r>
        <w:rPr>
          <w:rFonts w:ascii="Times New Roman" w:eastAsia="仿宋_GB2312" w:hAnsi="Times New Roman" w:cs="Times New Roman"/>
          <w:sz w:val="32"/>
          <w:szCs w:val="32"/>
        </w:rPr>
        <w:t>集成展示</w:t>
      </w:r>
      <w:r>
        <w:rPr>
          <w:rFonts w:ascii="Times New Roman" w:eastAsia="仿宋_GB2312" w:hAnsi="Times New Roman" w:cs="Times New Roman"/>
          <w:sz w:val="32"/>
          <w:szCs w:val="32"/>
        </w:rPr>
        <w:t>5</w:t>
      </w:r>
      <w:r>
        <w:rPr>
          <w:rFonts w:ascii="Times New Roman" w:eastAsia="仿宋_GB2312" w:hAnsi="Times New Roman" w:cs="Times New Roman"/>
          <w:sz w:val="32"/>
          <w:szCs w:val="32"/>
        </w:rPr>
        <w:t>种以上病虫</w:t>
      </w:r>
      <w:r>
        <w:rPr>
          <w:rFonts w:ascii="Times New Roman" w:eastAsia="仿宋_GB2312" w:hAnsi="Times New Roman" w:cs="Times New Roman" w:hint="eastAsia"/>
          <w:sz w:val="32"/>
          <w:szCs w:val="32"/>
        </w:rPr>
        <w:t>害</w:t>
      </w:r>
      <w:r>
        <w:rPr>
          <w:rFonts w:ascii="Times New Roman" w:eastAsia="仿宋_GB2312" w:hAnsi="Times New Roman" w:cs="Times New Roman"/>
          <w:sz w:val="32"/>
          <w:szCs w:val="32"/>
        </w:rPr>
        <w:t>绿色防控技术产品，每种技术产品选择不同企业同类产品</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个进行对比试验示范。通过集成示范，形成精准的绿色防控技术集成和可复制推广的融合模式，组织开展省、市级现场观摩</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培训</w:t>
      </w:r>
      <w:r>
        <w:rPr>
          <w:rFonts w:ascii="Times New Roman" w:eastAsia="仿宋_GB2312" w:hAnsi="Times New Roman" w:cs="Times New Roman" w:hint="eastAsia"/>
          <w:sz w:val="32"/>
          <w:szCs w:val="32"/>
        </w:rPr>
        <w:t>和宣传</w:t>
      </w:r>
      <w:r>
        <w:rPr>
          <w:rFonts w:ascii="Times New Roman" w:eastAsia="仿宋_GB2312" w:hAnsi="Times New Roman" w:cs="Times New Roman"/>
          <w:sz w:val="32"/>
          <w:szCs w:val="32"/>
        </w:rPr>
        <w:t>活动，引领带动全省推广应用。</w:t>
      </w:r>
    </w:p>
    <w:p w:rsidR="00A90DEC" w:rsidRDefault="008E561F">
      <w:pPr>
        <w:spacing w:line="570" w:lineRule="exact"/>
        <w:ind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（二）水稻病虫害绿色防控与专业化统防统治融合整县推进示范县。</w:t>
      </w:r>
      <w:r>
        <w:rPr>
          <w:rFonts w:ascii="Times New Roman" w:eastAsia="仿宋_GB2312" w:hAnsi="Times New Roman" w:cs="Times New Roman"/>
          <w:sz w:val="32"/>
          <w:szCs w:val="32"/>
        </w:rPr>
        <w:t>在武冈、岳阳、鼎城、临澧、桃江等</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个县市区开展水稻病虫害绿色防控与专业化统防统治融合整县推进示范，每个县市区创建绿色防控与专业化统防统治融合推进核心示范区</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个，单个面积不小于</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亩；示范区全程采用农业防治（统一品种及栽培模式）、生态调控、理化诱控、生物防治等绿色防控技术，形成科学的技术模式。项目示范覆盖所有</w:t>
      </w:r>
      <w:r>
        <w:rPr>
          <w:rFonts w:ascii="Times New Roman" w:eastAsia="仿宋_GB2312" w:hAnsi="Times New Roman" w:cs="Times New Roman"/>
          <w:sz w:val="32"/>
          <w:szCs w:val="32"/>
        </w:rPr>
        <w:lastRenderedPageBreak/>
        <w:t>乡镇，每个乡镇示范片面积</w:t>
      </w:r>
      <w:r>
        <w:rPr>
          <w:rFonts w:ascii="Times New Roman" w:eastAsia="仿宋_GB2312" w:hAnsi="Times New Roman" w:cs="Times New Roman"/>
          <w:sz w:val="32"/>
          <w:szCs w:val="32"/>
        </w:rPr>
        <w:t>300</w:t>
      </w:r>
      <w:r>
        <w:rPr>
          <w:rFonts w:ascii="Times New Roman" w:eastAsia="仿宋_GB2312" w:hAnsi="Times New Roman" w:cs="Times New Roman"/>
          <w:sz w:val="32"/>
          <w:szCs w:val="32"/>
        </w:rPr>
        <w:t>亩以上；引入</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家有标杆引领作用的专业化服务组织全程开展绿色防控与统防统治融合推进实施，举办观摩培训</w:t>
      </w:r>
      <w:r>
        <w:rPr>
          <w:rFonts w:ascii="Times New Roman" w:eastAsia="仿宋_GB2312" w:hAnsi="Times New Roman" w:cs="Times New Roman" w:hint="eastAsia"/>
          <w:sz w:val="32"/>
          <w:szCs w:val="32"/>
        </w:rPr>
        <w:t>宣传</w:t>
      </w:r>
      <w:r>
        <w:rPr>
          <w:rFonts w:ascii="Times New Roman" w:eastAsia="仿宋_GB2312" w:hAnsi="Times New Roman" w:cs="Times New Roman"/>
          <w:sz w:val="32"/>
          <w:szCs w:val="32"/>
        </w:rPr>
        <w:t>活动，引领带动全县推广应用，力争</w:t>
      </w:r>
      <w:r>
        <w:rPr>
          <w:rFonts w:ascii="Times New Roman" w:eastAsia="仿宋_GB2312" w:hAnsi="Times New Roman" w:cs="Times New Roman" w:hint="eastAsia"/>
          <w:sz w:val="32"/>
          <w:szCs w:val="32"/>
        </w:rPr>
        <w:t>推</w:t>
      </w:r>
      <w:r>
        <w:rPr>
          <w:rFonts w:ascii="Times New Roman" w:eastAsia="仿宋_GB2312" w:hAnsi="Times New Roman" w:cs="Times New Roman"/>
          <w:sz w:val="32"/>
          <w:szCs w:val="32"/>
        </w:rPr>
        <w:t>动全县农药减量</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以上。</w:t>
      </w:r>
    </w:p>
    <w:p w:rsidR="00A90DEC" w:rsidRDefault="008E561F">
      <w:pPr>
        <w:spacing w:line="570" w:lineRule="exact"/>
        <w:ind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（三）水稻病虫害全程绿色防控示范县。</w:t>
      </w:r>
      <w:r>
        <w:rPr>
          <w:rFonts w:ascii="Times New Roman" w:eastAsia="仿宋_GB2312" w:hAnsi="Times New Roman" w:cs="Times New Roman"/>
          <w:sz w:val="32"/>
          <w:szCs w:val="32"/>
        </w:rPr>
        <w:t>在长沙、浏阳、宁乡、衡阳、攸县、邵阳、邵东、华容、平江、桃源、资阳、双峰、涟源等</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个县市区开展水稻病虫害全程绿色防控示范。每县市覆盖</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个以上水稻主产乡镇，其中：创建水稻全程绿色防控核心示范区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个，面积不小于</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亩，核心示范区全面应用药剂拌种、统一品种和栽培制度、统一翻耕灌深水灭蛹等轻简化绿色防控技术；举办观摩培训</w:t>
      </w:r>
      <w:r>
        <w:rPr>
          <w:rFonts w:ascii="Times New Roman" w:eastAsia="仿宋_GB2312" w:hAnsi="Times New Roman" w:cs="Times New Roman" w:hint="eastAsia"/>
          <w:sz w:val="32"/>
          <w:szCs w:val="32"/>
        </w:rPr>
        <w:t>宣传</w:t>
      </w:r>
      <w:r>
        <w:rPr>
          <w:rFonts w:ascii="Times New Roman" w:eastAsia="仿宋_GB2312" w:hAnsi="Times New Roman" w:cs="Times New Roman"/>
          <w:sz w:val="32"/>
          <w:szCs w:val="32"/>
        </w:rPr>
        <w:t>活动，普及科学用药技术。分种植结构（稻稻、稻油</w:t>
      </w:r>
      <w:r>
        <w:rPr>
          <w:rFonts w:ascii="Times New Roman" w:eastAsia="仿宋_GB2312" w:hAnsi="Times New Roman" w:cs="Times New Roman"/>
          <w:sz w:val="32"/>
          <w:szCs w:val="32"/>
        </w:rPr>
        <w:t>/</w:t>
      </w:r>
      <w:r>
        <w:rPr>
          <w:rFonts w:ascii="Times New Roman" w:eastAsia="仿宋_GB2312" w:hAnsi="Times New Roman" w:cs="Times New Roman"/>
          <w:sz w:val="32"/>
          <w:szCs w:val="32"/>
        </w:rPr>
        <w:t>菜</w:t>
      </w:r>
      <w:r>
        <w:rPr>
          <w:rFonts w:ascii="Times New Roman" w:eastAsia="仿宋_GB2312" w:hAnsi="Times New Roman" w:cs="Times New Roman"/>
          <w:sz w:val="32"/>
          <w:szCs w:val="32"/>
        </w:rPr>
        <w:t>/</w:t>
      </w:r>
      <w:r>
        <w:rPr>
          <w:rFonts w:ascii="Times New Roman" w:eastAsia="仿宋_GB2312" w:hAnsi="Times New Roman" w:cs="Times New Roman"/>
          <w:sz w:val="32"/>
          <w:szCs w:val="32"/>
        </w:rPr>
        <w:t>肥等、稻渔）各设立乡镇示范片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个，每个示范片面积</w:t>
      </w:r>
      <w:r>
        <w:rPr>
          <w:rFonts w:ascii="Times New Roman" w:eastAsia="仿宋_GB2312" w:hAnsi="Times New Roman" w:cs="Times New Roman"/>
          <w:sz w:val="32"/>
          <w:szCs w:val="32"/>
        </w:rPr>
        <w:t>300</w:t>
      </w:r>
      <w:r>
        <w:rPr>
          <w:rFonts w:ascii="Times New Roman" w:eastAsia="仿宋_GB2312" w:hAnsi="Times New Roman" w:cs="Times New Roman"/>
          <w:sz w:val="32"/>
          <w:szCs w:val="32"/>
        </w:rPr>
        <w:t>亩以上。</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（四）稻渔综合种养病虫害绿色防控模式创新示范县。</w:t>
      </w:r>
      <w:r>
        <w:rPr>
          <w:rFonts w:ascii="Times New Roman" w:eastAsia="仿宋_GB2312" w:hAnsi="Times New Roman" w:cs="Times New Roman"/>
          <w:sz w:val="32"/>
          <w:szCs w:val="32"/>
        </w:rPr>
        <w:t>在临湘、津市、安乡、慈利、永定、桑植、南县、沅江、永兴、永顺等</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个县市区开展稻渔综合种养病虫害绿色防控模式创新示范，每县市区创建稻渔综合种养病虫害绿色防控核心示范区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个，面积不小于</w:t>
      </w:r>
      <w:r>
        <w:rPr>
          <w:rFonts w:ascii="Times New Roman" w:eastAsia="仿宋_GB2312" w:hAnsi="Times New Roman" w:cs="Times New Roman"/>
          <w:sz w:val="32"/>
          <w:szCs w:val="32"/>
        </w:rPr>
        <w:t>500</w:t>
      </w:r>
      <w:r>
        <w:rPr>
          <w:rFonts w:ascii="Times New Roman" w:eastAsia="仿宋_GB2312" w:hAnsi="Times New Roman" w:cs="Times New Roman"/>
          <w:sz w:val="32"/>
          <w:szCs w:val="32"/>
        </w:rPr>
        <w:t>亩，举办观摩培训</w:t>
      </w:r>
      <w:r>
        <w:rPr>
          <w:rFonts w:ascii="Times New Roman" w:eastAsia="仿宋_GB2312" w:hAnsi="Times New Roman" w:cs="Times New Roman" w:hint="eastAsia"/>
          <w:sz w:val="32"/>
          <w:szCs w:val="32"/>
        </w:rPr>
        <w:t>宣传</w:t>
      </w:r>
      <w:r>
        <w:rPr>
          <w:rFonts w:ascii="Times New Roman" w:eastAsia="仿宋_GB2312" w:hAnsi="Times New Roman" w:cs="Times New Roman"/>
          <w:sz w:val="32"/>
          <w:szCs w:val="32"/>
        </w:rPr>
        <w:t>活动，辐射带动周边区域</w:t>
      </w:r>
      <w:r>
        <w:rPr>
          <w:rFonts w:ascii="Times New Roman" w:eastAsia="仿宋_GB2312" w:hAnsi="Times New Roman" w:cs="Times New Roman"/>
          <w:sz w:val="32"/>
          <w:szCs w:val="32"/>
        </w:rPr>
        <w:t>3000</w:t>
      </w:r>
      <w:r>
        <w:rPr>
          <w:rFonts w:ascii="Times New Roman" w:eastAsia="仿宋_GB2312" w:hAnsi="Times New Roman" w:cs="Times New Roman"/>
          <w:sz w:val="32"/>
          <w:szCs w:val="32"/>
        </w:rPr>
        <w:t>亩以上。</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（五）稻烟轮作病虫害绿色防控模式创新示范县。</w:t>
      </w:r>
      <w:r>
        <w:rPr>
          <w:rFonts w:ascii="Times New Roman" w:eastAsia="仿宋_GB2312" w:hAnsi="Times New Roman" w:cs="Times New Roman"/>
          <w:sz w:val="32"/>
          <w:szCs w:val="32"/>
        </w:rPr>
        <w:t>在桃源、桂阳等</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个县开展稻烟轮作病虫害绿色防控模式创新示范，每县创建稻烟轮作病虫害绿色防控核心示范区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个，面积不小于</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亩，举办观摩培训</w:t>
      </w:r>
      <w:r>
        <w:rPr>
          <w:rFonts w:ascii="Times New Roman" w:eastAsia="仿宋_GB2312" w:hAnsi="Times New Roman" w:cs="Times New Roman" w:hint="eastAsia"/>
          <w:sz w:val="32"/>
          <w:szCs w:val="32"/>
        </w:rPr>
        <w:t>宣传</w:t>
      </w:r>
      <w:r>
        <w:rPr>
          <w:rFonts w:ascii="Times New Roman" w:eastAsia="仿宋_GB2312" w:hAnsi="Times New Roman" w:cs="Times New Roman"/>
          <w:sz w:val="32"/>
          <w:szCs w:val="32"/>
        </w:rPr>
        <w:t>活动，辐射带动周边区域</w:t>
      </w:r>
      <w:r>
        <w:rPr>
          <w:rFonts w:ascii="Times New Roman" w:eastAsia="仿宋_GB2312" w:hAnsi="Times New Roman" w:cs="Times New Roman"/>
          <w:sz w:val="32"/>
          <w:szCs w:val="32"/>
        </w:rPr>
        <w:lastRenderedPageBreak/>
        <w:t>3000</w:t>
      </w:r>
      <w:r>
        <w:rPr>
          <w:rFonts w:ascii="Times New Roman" w:eastAsia="仿宋_GB2312" w:hAnsi="Times New Roman" w:cs="Times New Roman"/>
          <w:sz w:val="32"/>
          <w:szCs w:val="32"/>
        </w:rPr>
        <w:t>亩以上。</w:t>
      </w:r>
    </w:p>
    <w:p w:rsidR="00A90DEC" w:rsidRDefault="008E561F">
      <w:pPr>
        <w:adjustRightInd w:val="0"/>
        <w:snapToGrid w:val="0"/>
        <w:spacing w:line="57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（六）草地贪夜蛾综合防控示范县。</w:t>
      </w:r>
      <w:r>
        <w:rPr>
          <w:rFonts w:ascii="Times New Roman" w:eastAsia="仿宋_GB2312" w:hAnsi="Times New Roman" w:cs="Times New Roman"/>
          <w:sz w:val="32"/>
          <w:szCs w:val="32"/>
        </w:rPr>
        <w:t>在武冈、新宁、汨罗、岳阳、石门、澧县、慈利、永定、桑植、安化、宜章、资兴、道县、东安、江华、芷江、靖州、新化、永顺、凤凰等</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个县市区及省棉科所开展草地贪夜蛾综合防控示范，每个县市区（单位）创建</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个以上、总面积不小于</w:t>
      </w:r>
      <w:r>
        <w:rPr>
          <w:rFonts w:ascii="Times New Roman" w:eastAsia="仿宋_GB2312" w:hAnsi="Times New Roman" w:cs="Times New Roman"/>
          <w:sz w:val="32"/>
          <w:szCs w:val="32"/>
        </w:rPr>
        <w:t>1500</w:t>
      </w:r>
      <w:r>
        <w:rPr>
          <w:rFonts w:ascii="Times New Roman" w:eastAsia="仿宋_GB2312" w:hAnsi="Times New Roman" w:cs="Times New Roman"/>
          <w:sz w:val="32"/>
          <w:szCs w:val="32"/>
        </w:rPr>
        <w:t>亩的综合防控示范区。举办观摩培训</w:t>
      </w:r>
      <w:r>
        <w:rPr>
          <w:rFonts w:ascii="Times New Roman" w:eastAsia="仿宋_GB2312" w:hAnsi="Times New Roman" w:cs="Times New Roman" w:hint="eastAsia"/>
          <w:sz w:val="32"/>
          <w:szCs w:val="32"/>
        </w:rPr>
        <w:t>宣传</w:t>
      </w:r>
      <w:r>
        <w:rPr>
          <w:rFonts w:ascii="Times New Roman" w:eastAsia="仿宋_GB2312" w:hAnsi="Times New Roman" w:cs="Times New Roman"/>
          <w:sz w:val="32"/>
          <w:szCs w:val="32"/>
        </w:rPr>
        <w:t>活动，带动全县草地贪夜蛾大</w:t>
      </w:r>
      <w:r>
        <w:rPr>
          <w:rFonts w:ascii="Times New Roman" w:eastAsia="仿宋_GB2312" w:hAnsi="Times New Roman" w:cs="Times New Roman" w:hint="eastAsia"/>
          <w:sz w:val="32"/>
          <w:szCs w:val="32"/>
        </w:rPr>
        <w:t>面积</w:t>
      </w:r>
      <w:r>
        <w:rPr>
          <w:rFonts w:ascii="Times New Roman" w:eastAsia="仿宋_GB2312" w:hAnsi="Times New Roman" w:cs="Times New Roman"/>
          <w:sz w:val="32"/>
          <w:szCs w:val="32"/>
        </w:rPr>
        <w:t>防控工作。</w:t>
      </w:r>
    </w:p>
    <w:p w:rsidR="00A90DEC" w:rsidRDefault="008E561F">
      <w:pPr>
        <w:adjustRightInd w:val="0"/>
        <w:snapToGrid w:val="0"/>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为整体推进全省示范区建设，打造工作亮点，</w:t>
      </w:r>
      <w:r>
        <w:rPr>
          <w:rFonts w:ascii="Times New Roman" w:eastAsia="仿宋_GB2312" w:hAnsi="Times New Roman" w:cs="Times New Roman" w:hint="eastAsia"/>
          <w:sz w:val="32"/>
          <w:szCs w:val="32"/>
        </w:rPr>
        <w:t>提升绿色防控技术实施水平，</w:t>
      </w:r>
      <w:r>
        <w:rPr>
          <w:rFonts w:ascii="Times New Roman" w:eastAsia="仿宋_GB2312" w:hAnsi="Times New Roman" w:cs="Times New Roman"/>
          <w:sz w:val="32"/>
          <w:szCs w:val="32"/>
        </w:rPr>
        <w:t>确保取得实效，省站（防治科）</w:t>
      </w:r>
      <w:r>
        <w:rPr>
          <w:rFonts w:ascii="Times New Roman" w:eastAsia="仿宋_GB2312" w:hAnsi="Times New Roman" w:cs="Times New Roman" w:hint="eastAsia"/>
          <w:sz w:val="32"/>
          <w:szCs w:val="32"/>
        </w:rPr>
        <w:t>将</w:t>
      </w:r>
      <w:r>
        <w:rPr>
          <w:rFonts w:ascii="Times New Roman" w:eastAsia="仿宋_GB2312" w:hAnsi="Times New Roman" w:cs="Times New Roman"/>
          <w:sz w:val="32"/>
          <w:szCs w:val="32"/>
        </w:rPr>
        <w:t>对建设内容下达具体指导任务。</w:t>
      </w:r>
    </w:p>
    <w:p w:rsidR="00A90DEC" w:rsidRDefault="008E561F">
      <w:pPr>
        <w:spacing w:line="570" w:lineRule="exact"/>
        <w:ind w:firstLine="640"/>
        <w:rPr>
          <w:rFonts w:ascii="Times New Roman" w:eastAsia="黑体" w:hAnsi="Times New Roman" w:cs="Times New Roman"/>
          <w:sz w:val="32"/>
          <w:szCs w:val="32"/>
        </w:rPr>
      </w:pPr>
      <w:r>
        <w:rPr>
          <w:rFonts w:ascii="Times New Roman" w:eastAsia="黑体" w:hAnsi="Times New Roman" w:cs="Times New Roman"/>
          <w:sz w:val="32"/>
          <w:szCs w:val="32"/>
        </w:rPr>
        <w:t>四、技术路线</w:t>
      </w:r>
    </w:p>
    <w:p w:rsidR="00A90DEC" w:rsidRDefault="008E561F">
      <w:pPr>
        <w:spacing w:line="57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各地要根据当地种植习惯、作物布局、结合重大病虫害发生及绿色防控技术推广应用等情况，科学精准组合农业防治、理化诱控、生物防治、生态调控和科学用药等绿色防控技术措施，推行统防统治与绿色防控融合，打造高质量粮食作物病虫</w:t>
      </w:r>
      <w:r>
        <w:rPr>
          <w:rFonts w:ascii="Times New Roman" w:eastAsia="仿宋_GB2312" w:hAnsi="Times New Roman" w:cs="Times New Roman" w:hint="eastAsia"/>
          <w:sz w:val="32"/>
          <w:szCs w:val="32"/>
        </w:rPr>
        <w:t>害</w:t>
      </w:r>
      <w:r>
        <w:rPr>
          <w:rFonts w:ascii="Times New Roman" w:eastAsia="仿宋_GB2312" w:hAnsi="Times New Roman" w:cs="Times New Roman"/>
          <w:sz w:val="32"/>
          <w:szCs w:val="32"/>
        </w:rPr>
        <w:t>绿色防控技术展示示范区和草地贪夜蛾综合防控示范区。其中水稻绿色防控技术示范推广要选择在绿色、优质水稻生产基地开展，集成打造水稻绿色高质高效示范区；草地贪夜蛾等防控示范要选择在虫害发生关键区实施。</w:t>
      </w:r>
    </w:p>
    <w:p w:rsidR="00A90DEC" w:rsidRDefault="008E561F">
      <w:pPr>
        <w:spacing w:line="57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（一）农业防治技术。</w:t>
      </w:r>
      <w:r>
        <w:rPr>
          <w:rFonts w:ascii="Times New Roman" w:eastAsia="仿宋_GB2312" w:hAnsi="Times New Roman" w:cs="Times New Roman"/>
          <w:sz w:val="32"/>
          <w:szCs w:val="32"/>
        </w:rPr>
        <w:t>核心示范区要求全面落实农业防治措施。</w:t>
      </w:r>
      <w:r>
        <w:rPr>
          <w:rFonts w:ascii="Times New Roman" w:eastAsia="仿宋_GB2312" w:hAnsi="Times New Roman" w:cs="Times New Roman"/>
          <w:b/>
          <w:bCs/>
          <w:sz w:val="32"/>
          <w:szCs w:val="32"/>
        </w:rPr>
        <w:t>选用抗性品种。</w:t>
      </w:r>
      <w:r>
        <w:rPr>
          <w:rFonts w:ascii="Times New Roman" w:eastAsia="仿宋_GB2312" w:hAnsi="Times New Roman" w:cs="Times New Roman"/>
          <w:sz w:val="32"/>
          <w:szCs w:val="32"/>
        </w:rPr>
        <w:t>以稻瘟病、稻曲病、白叶枯病、白背飞虱、褐飞虱为重点，因地制宜选用抗（耐）的水稻品种，避免</w:t>
      </w:r>
      <w:r>
        <w:rPr>
          <w:rFonts w:ascii="Times New Roman" w:eastAsia="仿宋_GB2312" w:hAnsi="Times New Roman" w:cs="Times New Roman"/>
          <w:sz w:val="32"/>
          <w:szCs w:val="32"/>
        </w:rPr>
        <w:lastRenderedPageBreak/>
        <w:t>种植高（易）感品种。</w:t>
      </w:r>
      <w:r>
        <w:rPr>
          <w:rFonts w:ascii="Times New Roman" w:eastAsia="仿宋_GB2312" w:hAnsi="Times New Roman" w:cs="Times New Roman"/>
          <w:b/>
          <w:sz w:val="32"/>
          <w:szCs w:val="32"/>
        </w:rPr>
        <w:t>翻耕灌水灭蛹。</w:t>
      </w:r>
      <w:r>
        <w:rPr>
          <w:rFonts w:ascii="Times New Roman" w:eastAsia="仿宋_GB2312" w:hAnsi="Times New Roman" w:cs="Times New Roman"/>
          <w:sz w:val="32"/>
          <w:szCs w:val="32"/>
        </w:rPr>
        <w:t>在越冬代螟虫化蛹期连片统一翻耕冬闲田、绿肥田，灌深水浸没稻桩</w:t>
      </w:r>
      <w:r>
        <w:rPr>
          <w:rFonts w:ascii="Times New Roman" w:eastAsia="仿宋_GB2312" w:hAnsi="Times New Roman" w:cs="Times New Roman"/>
          <w:sz w:val="32"/>
          <w:szCs w:val="32"/>
        </w:rPr>
        <w:t>7-10</w:t>
      </w:r>
      <w:r>
        <w:rPr>
          <w:rFonts w:ascii="Times New Roman" w:eastAsia="仿宋_GB2312" w:hAnsi="Times New Roman" w:cs="Times New Roman"/>
          <w:sz w:val="32"/>
          <w:szCs w:val="32"/>
        </w:rPr>
        <w:t>天，降低水稻虫源基数。</w:t>
      </w:r>
      <w:r>
        <w:rPr>
          <w:rFonts w:ascii="Times New Roman" w:eastAsia="仿宋_GB2312" w:hAnsi="Times New Roman" w:cs="Times New Roman"/>
          <w:b/>
          <w:sz w:val="32"/>
          <w:szCs w:val="32"/>
        </w:rPr>
        <w:t>健身栽培。</w:t>
      </w:r>
      <w:r>
        <w:rPr>
          <w:rFonts w:ascii="Times New Roman" w:eastAsia="仿宋_GB2312" w:hAnsi="Times New Roman" w:cs="Times New Roman"/>
          <w:sz w:val="32"/>
          <w:szCs w:val="32"/>
        </w:rPr>
        <w:t>加强水肥管理，适时晒田，避免重施、偏施、迟施氮肥，适当增施磷钾肥，提高植株抗逆性。</w:t>
      </w:r>
    </w:p>
    <w:p w:rsidR="00A90DEC" w:rsidRDefault="008E561F">
      <w:pPr>
        <w:spacing w:line="57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（二）种子处理和带药移栽技术。</w:t>
      </w:r>
      <w:r>
        <w:rPr>
          <w:rFonts w:ascii="Times New Roman" w:eastAsia="仿宋_GB2312" w:hAnsi="Times New Roman" w:cs="Times New Roman"/>
          <w:sz w:val="32"/>
          <w:szCs w:val="32"/>
        </w:rPr>
        <w:t>针对水稻恶苗病、稻瘟病、病毒病、稻飞虱、稻秆潜蝇、稻蓟马等病虫害，进行药剂拌种或浸种，减少苗期和大田前期用药。在水稻秧苗移栽前</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天施用内吸性药剂，带药移栽，可有效预防螟虫、稻飞虱、稻秆潜蝇、稻蓟马等害虫。根据玉米地下害虫、土传病害和苗期病虫</w:t>
      </w:r>
      <w:r>
        <w:rPr>
          <w:rStyle w:val="fontstyle01"/>
          <w:rFonts w:ascii="Times New Roman" w:hAnsi="Times New Roman" w:cs="Times New Roman"/>
          <w:color w:val="auto"/>
        </w:rPr>
        <w:t>害种类，选择适宜的种子处理剂统一拌种或包衣</w:t>
      </w:r>
      <w:r>
        <w:rPr>
          <w:rFonts w:ascii="Times New Roman" w:eastAsia="宋体" w:hAnsi="Times New Roman" w:cs="Times New Roman"/>
          <w:sz w:val="24"/>
        </w:rPr>
        <w:t>。</w:t>
      </w:r>
    </w:p>
    <w:p w:rsidR="00A90DEC" w:rsidRDefault="008E561F">
      <w:pPr>
        <w:spacing w:line="57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（三）理化诱控技术。</w:t>
      </w:r>
      <w:r>
        <w:rPr>
          <w:rFonts w:ascii="Times New Roman" w:eastAsia="仿宋_GB2312" w:hAnsi="Times New Roman" w:cs="Times New Roman"/>
          <w:b/>
          <w:bCs/>
          <w:sz w:val="32"/>
          <w:szCs w:val="32"/>
        </w:rPr>
        <w:t>性诱技术。</w:t>
      </w:r>
      <w:r>
        <w:rPr>
          <w:rFonts w:ascii="Times New Roman" w:eastAsia="仿宋_GB2312" w:hAnsi="Times New Roman" w:cs="Times New Roman"/>
          <w:sz w:val="32"/>
          <w:szCs w:val="32"/>
        </w:rPr>
        <w:t>从越冬代成虫羽化始期开始，大面积连片使用性信息素诱捕器诱杀二化螟、稻纵卷叶螟和草地贪夜蛾成虫。平均每亩设置</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个，采用外密内疏的布局方法，区域内非稻田同样放置。放置高度为诱芯高于植株顶端</w:t>
      </w:r>
      <w:r>
        <w:rPr>
          <w:rFonts w:ascii="Times New Roman" w:eastAsia="仿宋_GB2312" w:hAnsi="Times New Roman" w:cs="Times New Roman"/>
          <w:sz w:val="32"/>
          <w:szCs w:val="32"/>
        </w:rPr>
        <w:t>15-30</w:t>
      </w:r>
      <w:r>
        <w:rPr>
          <w:rFonts w:ascii="Times New Roman" w:eastAsia="仿宋_GB2312" w:hAnsi="Times New Roman" w:cs="Times New Roman"/>
          <w:sz w:val="32"/>
          <w:szCs w:val="32"/>
        </w:rPr>
        <w:t>厘米为适宜，宜选用持效期</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个月以上的长效诱芯。</w:t>
      </w:r>
      <w:r>
        <w:rPr>
          <w:rFonts w:ascii="Times New Roman" w:eastAsia="仿宋_GB2312" w:hAnsi="Times New Roman" w:cs="Times New Roman"/>
          <w:b/>
          <w:bCs/>
          <w:sz w:val="32"/>
          <w:szCs w:val="32"/>
        </w:rPr>
        <w:t>灯诱技术。</w:t>
      </w:r>
      <w:r>
        <w:rPr>
          <w:rFonts w:ascii="Times New Roman" w:eastAsia="仿宋_GB2312" w:hAnsi="Times New Roman" w:cs="Times New Roman"/>
          <w:sz w:val="32"/>
          <w:szCs w:val="32"/>
        </w:rPr>
        <w:t>利用害虫对光的趋性，在田间优先选用风吸式杀虫灯，每</w:t>
      </w:r>
      <w:r>
        <w:rPr>
          <w:rFonts w:ascii="Times New Roman" w:eastAsia="仿宋_GB2312" w:hAnsi="Times New Roman" w:cs="Times New Roman"/>
          <w:sz w:val="32"/>
          <w:szCs w:val="32"/>
        </w:rPr>
        <w:t>30-40</w:t>
      </w:r>
      <w:r>
        <w:rPr>
          <w:rFonts w:ascii="Times New Roman" w:eastAsia="仿宋_GB2312" w:hAnsi="Times New Roman" w:cs="Times New Roman"/>
          <w:sz w:val="32"/>
          <w:szCs w:val="32"/>
        </w:rPr>
        <w:t>亩一盏，诱杀螟虫、稻飞虱、稻纵卷叶螟、草地贪夜蛾等害虫成虫，降低虫口基数。</w:t>
      </w:r>
      <w:r>
        <w:rPr>
          <w:rFonts w:ascii="Times New Roman" w:eastAsia="仿宋_GB2312" w:hAnsi="Times New Roman" w:cs="Times New Roman"/>
          <w:b/>
          <w:bCs/>
          <w:sz w:val="32"/>
          <w:szCs w:val="32"/>
        </w:rPr>
        <w:t>食诱技术。</w:t>
      </w:r>
      <w:r>
        <w:rPr>
          <w:rFonts w:ascii="Times New Roman" w:eastAsia="仿宋_GB2312" w:hAnsi="Times New Roman" w:cs="Times New Roman"/>
          <w:sz w:val="32"/>
          <w:szCs w:val="32"/>
        </w:rPr>
        <w:t>配合精准测报，在稻纵卷叶螟、草地贪夜蛾成虫高峰期前</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天左右，每亩布置</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套，安装高度为诱捕器底部跟作物叶尖齐平为准，在生殖成熟前进行雌雄通杀。</w:t>
      </w:r>
    </w:p>
    <w:p w:rsidR="00A90DEC" w:rsidRDefault="008E561F">
      <w:pPr>
        <w:spacing w:line="60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（四）生物防治技术。</w:t>
      </w:r>
      <w:r>
        <w:rPr>
          <w:rFonts w:ascii="Times New Roman" w:eastAsia="仿宋_GB2312" w:hAnsi="Times New Roman" w:cs="Times New Roman"/>
          <w:b/>
          <w:sz w:val="32"/>
          <w:szCs w:val="32"/>
        </w:rPr>
        <w:t>赤眼蜂控害</w:t>
      </w:r>
      <w:r>
        <w:rPr>
          <w:rFonts w:ascii="Times New Roman" w:eastAsia="仿宋_GB2312" w:hAnsi="Times New Roman" w:cs="Times New Roman"/>
          <w:sz w:val="32"/>
          <w:szCs w:val="32"/>
        </w:rPr>
        <w:t>。二化螟、稻纵卷叶螟蛾始盛期释放稻螟赤眼蜂，每代放蜂</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次，间隔</w:t>
      </w:r>
      <w:r>
        <w:rPr>
          <w:rFonts w:ascii="Times New Roman" w:eastAsia="仿宋_GB2312" w:hAnsi="Times New Roman" w:cs="Times New Roman"/>
          <w:sz w:val="32"/>
          <w:szCs w:val="32"/>
        </w:rPr>
        <w:t>3-5</w:t>
      </w:r>
      <w:r>
        <w:rPr>
          <w:rFonts w:ascii="Times New Roman" w:eastAsia="仿宋_GB2312" w:hAnsi="Times New Roman" w:cs="Times New Roman"/>
          <w:sz w:val="32"/>
          <w:szCs w:val="32"/>
        </w:rPr>
        <w:t>天，每次</w:t>
      </w:r>
      <w:r>
        <w:rPr>
          <w:rFonts w:ascii="Times New Roman" w:eastAsia="仿宋_GB2312" w:hAnsi="Times New Roman" w:cs="Times New Roman"/>
          <w:sz w:val="32"/>
          <w:szCs w:val="32"/>
        </w:rPr>
        <w:lastRenderedPageBreak/>
        <w:t>放蜂量</w:t>
      </w:r>
      <w:r>
        <w:rPr>
          <w:rFonts w:ascii="Times New Roman" w:eastAsia="仿宋_GB2312" w:hAnsi="Times New Roman" w:cs="Times New Roman"/>
          <w:sz w:val="32"/>
          <w:szCs w:val="32"/>
        </w:rPr>
        <w:t>8000-10000</w:t>
      </w:r>
      <w:r>
        <w:rPr>
          <w:rFonts w:ascii="Times New Roman" w:eastAsia="仿宋_GB2312" w:hAnsi="Times New Roman" w:cs="Times New Roman"/>
          <w:sz w:val="32"/>
          <w:szCs w:val="32"/>
        </w:rPr>
        <w:t>头</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亩，均匀放置</w:t>
      </w:r>
      <w:r>
        <w:rPr>
          <w:rFonts w:ascii="Times New Roman" w:eastAsia="仿宋_GB2312" w:hAnsi="Times New Roman" w:cs="Times New Roman"/>
          <w:sz w:val="32"/>
          <w:szCs w:val="32"/>
        </w:rPr>
        <w:t>5-8</w:t>
      </w:r>
      <w:r>
        <w:rPr>
          <w:rFonts w:ascii="Times New Roman" w:eastAsia="仿宋_GB2312" w:hAnsi="Times New Roman" w:cs="Times New Roman"/>
          <w:sz w:val="32"/>
          <w:szCs w:val="32"/>
        </w:rPr>
        <w:t>个点。高温季节宜在傍晚放蜂，蜂卡放置高度以分蘖期高于植株顶端</w:t>
      </w:r>
      <w:r>
        <w:rPr>
          <w:rFonts w:ascii="Times New Roman" w:eastAsia="仿宋_GB2312" w:hAnsi="Times New Roman" w:cs="Times New Roman"/>
          <w:sz w:val="32"/>
          <w:szCs w:val="32"/>
        </w:rPr>
        <w:t>5-20</w:t>
      </w:r>
      <w:r>
        <w:rPr>
          <w:rFonts w:ascii="Times New Roman" w:eastAsia="仿宋_GB2312" w:hAnsi="Times New Roman" w:cs="Times New Roman"/>
          <w:sz w:val="32"/>
          <w:szCs w:val="32"/>
        </w:rPr>
        <w:t>厘米、穗期低于植株顶端</w:t>
      </w:r>
      <w:r>
        <w:rPr>
          <w:rFonts w:ascii="Times New Roman" w:eastAsia="仿宋_GB2312" w:hAnsi="Times New Roman" w:cs="Times New Roman"/>
          <w:sz w:val="32"/>
          <w:szCs w:val="32"/>
        </w:rPr>
        <w:t>5-10</w:t>
      </w:r>
      <w:r>
        <w:rPr>
          <w:rFonts w:ascii="Times New Roman" w:eastAsia="仿宋_GB2312" w:hAnsi="Times New Roman" w:cs="Times New Roman"/>
          <w:sz w:val="32"/>
          <w:szCs w:val="32"/>
        </w:rPr>
        <w:t>厘米为宜；抛撒型释放器直接投入田间。针对玉米螟、棉铃虫、桃蛀螟等害虫，在产卵初期选用当地优势蜂种，每亩放蜂</w:t>
      </w:r>
      <w:r>
        <w:rPr>
          <w:rFonts w:ascii="Times New Roman" w:eastAsia="仿宋_GB2312" w:hAnsi="Times New Roman" w:cs="Times New Roman"/>
          <w:sz w:val="32"/>
          <w:szCs w:val="32"/>
        </w:rPr>
        <w:t>1.5-2</w:t>
      </w:r>
      <w:r>
        <w:rPr>
          <w:rFonts w:ascii="Times New Roman" w:eastAsia="仿宋_GB2312" w:hAnsi="Times New Roman" w:cs="Times New Roman"/>
          <w:sz w:val="32"/>
          <w:szCs w:val="32"/>
        </w:rPr>
        <w:t>万头。</w:t>
      </w:r>
      <w:r>
        <w:rPr>
          <w:rFonts w:ascii="Times New Roman" w:eastAsia="仿宋_GB2312" w:hAnsi="Times New Roman" w:cs="Times New Roman"/>
          <w:b/>
          <w:sz w:val="32"/>
          <w:szCs w:val="32"/>
        </w:rPr>
        <w:t>稻鸭共育控害。</w:t>
      </w:r>
      <w:r>
        <w:rPr>
          <w:rFonts w:ascii="Times New Roman" w:eastAsia="仿宋_GB2312" w:hAnsi="Times New Roman" w:cs="Times New Roman"/>
          <w:sz w:val="32"/>
          <w:szCs w:val="32"/>
        </w:rPr>
        <w:t>水稻分蘖初期，每亩放</w:t>
      </w:r>
      <w:r>
        <w:rPr>
          <w:rFonts w:ascii="Times New Roman" w:eastAsia="仿宋_GB2312" w:hAnsi="Times New Roman" w:cs="Times New Roman"/>
          <w:sz w:val="32"/>
          <w:szCs w:val="32"/>
        </w:rPr>
        <w:t>10-30</w:t>
      </w:r>
      <w:r>
        <w:rPr>
          <w:rFonts w:ascii="Times New Roman" w:eastAsia="仿宋_GB2312" w:hAnsi="Times New Roman" w:cs="Times New Roman"/>
          <w:sz w:val="32"/>
          <w:szCs w:val="32"/>
        </w:rPr>
        <w:t>只雏鸭，水稻齐穗时收鸭，通过鸭子取食活动，减轻纹枯病、二化螟、稻纵卷叶螟、稻飞虱、福寿螺和杂草等病虫草害。</w:t>
      </w:r>
    </w:p>
    <w:p w:rsidR="00A90DEC" w:rsidRDefault="008E561F">
      <w:pPr>
        <w:spacing w:line="60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（五）生态调控技术。</w:t>
      </w:r>
      <w:r>
        <w:rPr>
          <w:rFonts w:ascii="Times New Roman" w:eastAsia="仿宋_GB2312" w:hAnsi="Times New Roman" w:cs="Times New Roman"/>
          <w:sz w:val="32"/>
          <w:szCs w:val="32"/>
        </w:rPr>
        <w:t>田埂边保留功能杂草，种植大豆、芝麻、波斯菊等显花作物，蓄养害虫天敌；二化螟对香根草敏感的地区在路边、沟边和机耕道旁种植香根草等诱集植物，诱集螟虫成虫产卵，减少螟虫在水稻上的着卵量。</w:t>
      </w:r>
    </w:p>
    <w:p w:rsidR="00A90DEC" w:rsidRDefault="008E561F">
      <w:pPr>
        <w:spacing w:line="600"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（六）科学用药技术。</w:t>
      </w:r>
      <w:r>
        <w:rPr>
          <w:rFonts w:ascii="Times New Roman" w:eastAsia="仿宋_GB2312" w:hAnsi="Times New Roman" w:cs="Times New Roman"/>
          <w:sz w:val="32"/>
          <w:szCs w:val="32"/>
        </w:rPr>
        <w:t>根据预测预报和田间发生实际，在病虫害发生程度较轻时，优先选用生物制剂。防治草地贪夜蛾、玉米螟、棉铃虫选用球孢白僵菌、金龟子绿僵菌、甘蓝夜蛾核型多角体病毒、苏云金杆菌等；防治二化螟、稻纵卷叶螟，选用苏云金杆菌、金龟子绿僵菌、球孢白僵菌；防治稻飞虱选用金龟子绿僵菌、球孢白僵菌；防治稻瘟病选用枯草芽孢杆菌、四霉素、春雷霉素；防治纹枯病和稻曲病选用井冈</w:t>
      </w:r>
      <w:r>
        <w:rPr>
          <w:rFonts w:ascii="Times New Roman" w:eastAsia="仿宋_GB2312" w:hAnsi="Times New Roman" w:cs="Times New Roman"/>
          <w:sz w:val="32"/>
          <w:szCs w:val="32"/>
        </w:rPr>
        <w:t>·</w:t>
      </w:r>
      <w:r>
        <w:rPr>
          <w:rFonts w:ascii="Times New Roman" w:eastAsia="仿宋_GB2312" w:hAnsi="Times New Roman" w:cs="Times New Roman"/>
          <w:sz w:val="32"/>
          <w:szCs w:val="32"/>
        </w:rPr>
        <w:t>蜡芽菌</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12.5%</w:t>
      </w:r>
      <w:r>
        <w:rPr>
          <w:rFonts w:ascii="Times New Roman" w:eastAsia="仿宋_GB2312" w:hAnsi="Times New Roman" w:cs="Times New Roman" w:hint="eastAsia"/>
          <w:sz w:val="32"/>
          <w:szCs w:val="32"/>
        </w:rPr>
        <w:t>以上）</w:t>
      </w:r>
      <w:r>
        <w:rPr>
          <w:rFonts w:ascii="Times New Roman" w:eastAsia="仿宋_GB2312" w:hAnsi="Times New Roman" w:cs="Times New Roman"/>
          <w:sz w:val="32"/>
          <w:szCs w:val="32"/>
        </w:rPr>
        <w:t>、井冈霉素等。发生程度较重时，参照《</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年湖南省</w:t>
      </w:r>
      <w:r>
        <w:rPr>
          <w:rFonts w:ascii="Times New Roman" w:eastAsia="仿宋_GB2312" w:hAnsi="Times New Roman" w:cs="Times New Roman"/>
          <w:sz w:val="32"/>
          <w:szCs w:val="32"/>
        </w:rPr>
        <w:t>“</w:t>
      </w:r>
      <w:r>
        <w:rPr>
          <w:rFonts w:ascii="Times New Roman" w:eastAsia="仿宋_GB2312" w:hAnsi="Times New Roman" w:cs="Times New Roman"/>
          <w:sz w:val="32"/>
          <w:szCs w:val="32"/>
        </w:rPr>
        <w:t>虫口夺粮</w:t>
      </w:r>
      <w:r>
        <w:rPr>
          <w:rFonts w:ascii="Times New Roman" w:eastAsia="仿宋_GB2312" w:hAnsi="Times New Roman" w:cs="Times New Roman"/>
          <w:sz w:val="32"/>
          <w:szCs w:val="32"/>
        </w:rPr>
        <w:t>”</w:t>
      </w:r>
      <w:r>
        <w:rPr>
          <w:rFonts w:ascii="Times New Roman" w:eastAsia="仿宋_GB2312" w:hAnsi="Times New Roman" w:cs="Times New Roman"/>
          <w:sz w:val="32"/>
          <w:szCs w:val="32"/>
        </w:rPr>
        <w:t>保丰收工作方案》，应用精准施药技术，科学合理选用高效低风险化学药剂实行达标应急控害。</w:t>
      </w:r>
    </w:p>
    <w:p w:rsidR="00A90DEC" w:rsidRDefault="00C507D9">
      <w:pPr>
        <w:spacing w:line="60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五</w:t>
      </w:r>
      <w:r w:rsidR="008E561F">
        <w:rPr>
          <w:rFonts w:ascii="Times New Roman" w:eastAsia="黑体" w:hAnsi="Times New Roman" w:cs="Times New Roman"/>
          <w:sz w:val="32"/>
          <w:szCs w:val="32"/>
        </w:rPr>
        <w:t>、工作要求</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（一）加强组织领导。</w:t>
      </w:r>
      <w:r>
        <w:rPr>
          <w:rFonts w:ascii="Times New Roman" w:eastAsia="仿宋_GB2312" w:hAnsi="Times New Roman" w:cs="Times New Roman"/>
          <w:sz w:val="32"/>
          <w:szCs w:val="32"/>
        </w:rPr>
        <w:t>有关项目县应成立领导小组和技术指导小组，负责示范基地管理、协调和指导工作。要尽快制订切实可行的实施方案，</w:t>
      </w:r>
      <w:r>
        <w:rPr>
          <w:rFonts w:ascii="Times New Roman" w:eastAsia="仿宋_GB2312" w:hAnsi="Times New Roman" w:cs="Times New Roman" w:hint="eastAsia"/>
          <w:sz w:val="32"/>
          <w:szCs w:val="32"/>
        </w:rPr>
        <w:t>按照省级指导要求，</w:t>
      </w:r>
      <w:r>
        <w:rPr>
          <w:rFonts w:ascii="Times New Roman" w:eastAsia="仿宋_GB2312" w:hAnsi="Times New Roman" w:cs="Times New Roman"/>
          <w:sz w:val="32"/>
          <w:szCs w:val="32"/>
        </w:rPr>
        <w:t>积极准备示范和推广所需物资（物化产品），组织技术人员深入示范基地，指导落实示范工作和技术措施。示范区要设立示范标牌，明确组织</w:t>
      </w:r>
      <w:r>
        <w:rPr>
          <w:rFonts w:ascii="Times New Roman" w:eastAsia="仿宋_GB2312" w:hAnsi="Times New Roman" w:cs="Times New Roman"/>
          <w:spacing w:val="-6"/>
          <w:sz w:val="32"/>
          <w:szCs w:val="32"/>
        </w:rPr>
        <w:t>领导和植保技术指导负责人，保证示范创建工作顺利有效实施。</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（二）加大扶持力度。</w:t>
      </w:r>
      <w:r>
        <w:rPr>
          <w:rFonts w:ascii="Times New Roman" w:eastAsia="仿宋_GB2312" w:hAnsi="Times New Roman" w:cs="Times New Roman"/>
          <w:sz w:val="32"/>
          <w:szCs w:val="32"/>
        </w:rPr>
        <w:t>推进农业绿色发展相关项目资金统筹整合，从中切块资金用于开展病虫害绿色防控工作；积极争取当地政府重视和有关部门支持，增加资金投入，确保示范区各项病虫绿色防控技术措施落到实处，促进大面积推广应用。</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（三）强化调查研究。</w:t>
      </w:r>
      <w:r>
        <w:rPr>
          <w:rFonts w:ascii="Times New Roman" w:eastAsia="仿宋_GB2312" w:hAnsi="Times New Roman" w:cs="Times New Roman"/>
          <w:sz w:val="32"/>
          <w:szCs w:val="32"/>
        </w:rPr>
        <w:t>及时调查记载示范区和对照田的主要病虫发生种类、发生量、危害损失、天敌优势种群数量、防治效果等，对比评估防控技术模式的使用效果及推广应用效益。认真开展示范效果评估，全面总结工作情况，及时提交示范工作总结报告。</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（四）广泛宣传培训。</w:t>
      </w:r>
      <w:r>
        <w:rPr>
          <w:rFonts w:ascii="Times New Roman" w:eastAsia="仿宋_GB2312" w:hAnsi="Times New Roman" w:cs="Times New Roman"/>
          <w:sz w:val="32"/>
          <w:szCs w:val="32"/>
        </w:rPr>
        <w:t>做好水稻病虫绿色防控和草地贪夜蛾病虫综合防控技术指导、培训和宣传工作。通过组织现场会、新闻媒</w:t>
      </w:r>
      <w:r>
        <w:rPr>
          <w:rFonts w:ascii="Times New Roman" w:eastAsia="仿宋_GB2312" w:hAnsi="Times New Roman" w:cs="Times New Roman" w:hint="eastAsia"/>
          <w:sz w:val="32"/>
          <w:szCs w:val="32"/>
        </w:rPr>
        <w:t>体</w:t>
      </w:r>
      <w:r>
        <w:rPr>
          <w:rFonts w:ascii="Times New Roman" w:eastAsia="仿宋_GB2312" w:hAnsi="Times New Roman" w:cs="Times New Roman"/>
          <w:sz w:val="32"/>
          <w:szCs w:val="32"/>
        </w:rPr>
        <w:t>宣传等多种形式的活动，强化示范区的集成示范展示作用，努力营造全社会共同关注、农户自觉运用的良好氛围。</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楷体_GB2312" w:hAnsi="Times New Roman" w:cs="Times New Roman"/>
          <w:b/>
          <w:bCs/>
          <w:sz w:val="32"/>
          <w:szCs w:val="32"/>
        </w:rPr>
        <w:t>（五）探索推广机制。</w:t>
      </w:r>
      <w:r>
        <w:rPr>
          <w:rFonts w:ascii="Times New Roman" w:eastAsia="仿宋_GB2312" w:hAnsi="Times New Roman" w:cs="Times New Roman"/>
          <w:sz w:val="32"/>
          <w:szCs w:val="32"/>
        </w:rPr>
        <w:t>引导粮油生产者、专业化统防统治服务组织与农资企业对接与合作，联合开展技术集成、产品直</w:t>
      </w:r>
      <w:r>
        <w:rPr>
          <w:rFonts w:ascii="Times New Roman" w:eastAsia="仿宋_GB2312" w:hAnsi="Times New Roman" w:cs="Times New Roman"/>
          <w:sz w:val="32"/>
          <w:szCs w:val="32"/>
        </w:rPr>
        <w:lastRenderedPageBreak/>
        <w:t>供、技术指导、示范推广活动，加快病虫害绿色防控新技术、新产品的推广应用。</w:t>
      </w:r>
    </w:p>
    <w:p w:rsidR="00A90DEC" w:rsidRDefault="00C507D9">
      <w:pPr>
        <w:spacing w:line="600" w:lineRule="exact"/>
        <w:ind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六</w:t>
      </w:r>
      <w:r w:rsidR="008E561F">
        <w:rPr>
          <w:rFonts w:ascii="Times New Roman" w:eastAsia="黑体" w:hAnsi="Times New Roman" w:cs="Times New Roman"/>
          <w:sz w:val="32"/>
          <w:szCs w:val="32"/>
        </w:rPr>
        <w:t>、工作进度</w:t>
      </w:r>
      <w:r w:rsidR="008E561F">
        <w:rPr>
          <w:rFonts w:ascii="Times New Roman" w:eastAsia="黑体" w:hAnsi="Times New Roman" w:cs="Times New Roman"/>
          <w:sz w:val="32"/>
          <w:szCs w:val="32"/>
        </w:rPr>
        <w:t xml:space="preserve"> </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月中旬，下达省级绿色防控示范建设项目资金。</w:t>
      </w:r>
    </w:p>
    <w:p w:rsidR="00A90DEC" w:rsidRDefault="008E561F">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月底前，各项目县（市、区）完成绿色防控示范建设工作和技术方案制定，落实绿色防控示范区（片）</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建设目标任务。开展植保技术人员、规模种植户、农药经营人员绿色防控技术培训。</w:t>
      </w:r>
      <w:r>
        <w:rPr>
          <w:rFonts w:ascii="Times New Roman" w:eastAsia="仿宋_GB2312" w:hAnsi="Times New Roman" w:cs="Times New Roman"/>
          <w:sz w:val="32"/>
          <w:szCs w:val="32"/>
        </w:rPr>
        <w:t xml:space="preserve"> </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月，调度指导绿色防控示范区建设，组织开展绿色防控示范建设现场观摩及效果评价等。</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月，组织开展示范区建设年度绩效评估和工作总结，通报建设情况。结合各项目示范推广情况，研究制订湖南粮食作物病虫防控绿色主推产品目录。</w:t>
      </w: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请各有关项目县于</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日前将项目实施方案、</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日前将项目工作总结报省植保植检站防治科。联系人：朱秀秀，</w:t>
      </w:r>
      <w:r>
        <w:rPr>
          <w:rFonts w:ascii="Times New Roman" w:eastAsia="仿宋_GB2312" w:hAnsi="Times New Roman" w:cs="Times New Roman"/>
          <w:sz w:val="32"/>
          <w:szCs w:val="32"/>
        </w:rPr>
        <w:t>15116214877</w:t>
      </w:r>
      <w:r>
        <w:rPr>
          <w:rFonts w:ascii="Times New Roman" w:eastAsia="仿宋_GB2312" w:hAnsi="Times New Roman" w:cs="Times New Roman"/>
          <w:sz w:val="32"/>
          <w:szCs w:val="32"/>
        </w:rPr>
        <w:t>。</w:t>
      </w:r>
      <w:r>
        <w:rPr>
          <w:rFonts w:ascii="Times New Roman" w:eastAsia="仿宋_GB2312" w:hAnsi="Times New Roman" w:cs="Times New Roman"/>
          <w:sz w:val="32"/>
          <w:szCs w:val="32"/>
        </w:rPr>
        <w:t xml:space="preserve"> </w:t>
      </w:r>
    </w:p>
    <w:p w:rsidR="00A90DEC" w:rsidRDefault="00A90DEC">
      <w:pPr>
        <w:spacing w:line="600" w:lineRule="exact"/>
        <w:ind w:firstLine="640"/>
        <w:rPr>
          <w:rFonts w:ascii="Times New Roman" w:eastAsia="仿宋_GB2312" w:hAnsi="Times New Roman" w:cs="Times New Roman"/>
          <w:sz w:val="32"/>
          <w:szCs w:val="32"/>
        </w:rPr>
      </w:pPr>
    </w:p>
    <w:p w:rsidR="00A90DEC" w:rsidRDefault="008E561F">
      <w:pPr>
        <w:spacing w:line="60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年粮食作物病虫害绿色防控示范项目安排表</w:t>
      </w:r>
    </w:p>
    <w:p w:rsidR="00A90DEC" w:rsidRDefault="00A90DEC">
      <w:pPr>
        <w:spacing w:line="600" w:lineRule="exact"/>
        <w:ind w:firstLine="640"/>
        <w:rPr>
          <w:rFonts w:ascii="Times New Roman" w:eastAsia="仿宋_GB2312" w:hAnsi="Times New Roman" w:cs="Times New Roman"/>
          <w:sz w:val="32"/>
          <w:szCs w:val="32"/>
        </w:rPr>
      </w:pPr>
    </w:p>
    <w:p w:rsidR="00A90DEC" w:rsidRDefault="00A90DEC">
      <w:pPr>
        <w:spacing w:line="560" w:lineRule="exact"/>
        <w:ind w:firstLine="640"/>
        <w:rPr>
          <w:rFonts w:ascii="Times New Roman" w:eastAsia="仿宋_GB2312" w:hAnsi="Times New Roman" w:cs="Times New Roman"/>
          <w:sz w:val="32"/>
          <w:szCs w:val="32"/>
        </w:rPr>
      </w:pPr>
    </w:p>
    <w:p w:rsidR="00A90DEC" w:rsidRDefault="00A90DEC">
      <w:pPr>
        <w:spacing w:line="560" w:lineRule="exact"/>
        <w:ind w:firstLine="640"/>
        <w:rPr>
          <w:rFonts w:ascii="Times New Roman" w:hAnsi="Times New Roman" w:cs="Times New Roman"/>
          <w:sz w:val="28"/>
          <w:szCs w:val="21"/>
        </w:rPr>
        <w:sectPr w:rsidR="00A90DEC">
          <w:footerReference w:type="default" r:id="rId7"/>
          <w:pgSz w:w="11906" w:h="16838"/>
          <w:pgMar w:top="1871" w:right="1701" w:bottom="1701" w:left="1701" w:header="851" w:footer="1304" w:gutter="0"/>
          <w:cols w:space="0"/>
          <w:docGrid w:type="lines" w:linePitch="312"/>
        </w:sectPr>
      </w:pPr>
    </w:p>
    <w:p w:rsidR="00A90DEC" w:rsidRDefault="008E561F">
      <w:pPr>
        <w:ind w:firstLine="640"/>
        <w:jc w:val="center"/>
        <w:rPr>
          <w:rFonts w:ascii="方正小标宋简体" w:eastAsia="方正小标宋简体" w:hAnsi="方正小标宋简体" w:cs="方正小标宋简体"/>
          <w:kern w:val="0"/>
          <w:sz w:val="36"/>
          <w:szCs w:val="36"/>
        </w:rPr>
      </w:pPr>
      <w:r>
        <w:rPr>
          <w:rFonts w:ascii="方正小标宋简体" w:eastAsia="方正小标宋简体" w:hAnsi="方正小标宋简体" w:cs="方正小标宋简体" w:hint="eastAsia"/>
          <w:kern w:val="0"/>
          <w:sz w:val="36"/>
          <w:szCs w:val="36"/>
        </w:rPr>
        <w:lastRenderedPageBreak/>
        <w:t>2021年粮食作物病虫绿色防控示范项目安排表</w:t>
      </w:r>
    </w:p>
    <w:tbl>
      <w:tblPr>
        <w:tblW w:w="14551" w:type="dxa"/>
        <w:jc w:val="center"/>
        <w:tblLook w:val="04A0"/>
      </w:tblPr>
      <w:tblGrid>
        <w:gridCol w:w="840"/>
        <w:gridCol w:w="1983"/>
        <w:gridCol w:w="1011"/>
        <w:gridCol w:w="998"/>
        <w:gridCol w:w="2968"/>
        <w:gridCol w:w="2171"/>
        <w:gridCol w:w="3613"/>
        <w:gridCol w:w="967"/>
      </w:tblGrid>
      <w:tr w:rsidR="00A90DEC">
        <w:trPr>
          <w:trHeight w:val="270"/>
          <w:jc w:val="center"/>
        </w:trPr>
        <w:tc>
          <w:tcPr>
            <w:tcW w:w="8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作物</w:t>
            </w:r>
          </w:p>
        </w:tc>
        <w:tc>
          <w:tcPr>
            <w:tcW w:w="19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项目名称</w:t>
            </w:r>
          </w:p>
        </w:tc>
        <w:tc>
          <w:tcPr>
            <w:tcW w:w="20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示范推广（亩）</w:t>
            </w:r>
          </w:p>
        </w:tc>
        <w:tc>
          <w:tcPr>
            <w:tcW w:w="29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主要防治对象</w:t>
            </w:r>
          </w:p>
        </w:tc>
        <w:tc>
          <w:tcPr>
            <w:tcW w:w="217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示范内容</w:t>
            </w:r>
          </w:p>
        </w:tc>
        <w:tc>
          <w:tcPr>
            <w:tcW w:w="36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示范地点</w:t>
            </w:r>
          </w:p>
        </w:tc>
        <w:tc>
          <w:tcPr>
            <w:tcW w:w="9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备注</w:t>
            </w:r>
          </w:p>
        </w:tc>
      </w:tr>
      <w:tr w:rsidR="00A90DEC">
        <w:trPr>
          <w:trHeight w:val="410"/>
          <w:jc w:val="center"/>
        </w:trPr>
        <w:tc>
          <w:tcPr>
            <w:tcW w:w="8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c>
          <w:tcPr>
            <w:tcW w:w="19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ind w:leftChars="-20" w:left="-42" w:rightChars="-20" w:right="-42"/>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核心面积</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ind w:leftChars="-20" w:left="-42" w:rightChars="-20" w:right="-42"/>
              <w:jc w:val="center"/>
              <w:textAlignment w:val="center"/>
              <w:rPr>
                <w:rFonts w:ascii="Times New Roman" w:eastAsia="黑体" w:hAnsi="Times New Roman" w:cs="Times New Roman"/>
                <w:szCs w:val="21"/>
              </w:rPr>
            </w:pPr>
            <w:r>
              <w:rPr>
                <w:rFonts w:ascii="Times New Roman" w:eastAsia="黑体" w:hAnsi="Times New Roman" w:cs="Times New Roman"/>
                <w:kern w:val="0"/>
                <w:szCs w:val="21"/>
              </w:rPr>
              <w:t>推广面积</w:t>
            </w:r>
          </w:p>
        </w:tc>
        <w:tc>
          <w:tcPr>
            <w:tcW w:w="29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c>
          <w:tcPr>
            <w:tcW w:w="217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c>
          <w:tcPr>
            <w:tcW w:w="3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c>
          <w:tcPr>
            <w:tcW w:w="96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eastAsia="黑体" w:hAnsi="Times New Roman" w:cs="Times New Roman"/>
                <w:szCs w:val="21"/>
              </w:rPr>
            </w:pPr>
          </w:p>
        </w:tc>
      </w:tr>
      <w:tr w:rsidR="00A90DEC">
        <w:trPr>
          <w:trHeight w:val="1140"/>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kern w:val="0"/>
                <w:szCs w:val="21"/>
              </w:rPr>
            </w:pPr>
            <w:r>
              <w:rPr>
                <w:rFonts w:ascii="Times New Roman" w:hAnsi="Times New Roman" w:cs="Times New Roman"/>
                <w:kern w:val="0"/>
                <w:szCs w:val="21"/>
              </w:rPr>
              <w:t>水稻</w:t>
            </w:r>
          </w:p>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玉米</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粮食作物病虫绿色防控产品与技术集中展示</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hint="eastAsia"/>
                <w:szCs w:val="21"/>
              </w:rPr>
              <w:t>23</w:t>
            </w:r>
            <w:r>
              <w:rPr>
                <w:rFonts w:ascii="Times New Roman" w:hAnsi="Times New Roman" w:cs="Times New Roman"/>
                <w:szCs w:val="21"/>
              </w:rPr>
              <w:t>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100000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二化螟、稻飞虱、稻纵卷叶螟、稻</w:t>
            </w:r>
            <w:r>
              <w:rPr>
                <w:rFonts w:ascii="Times New Roman" w:hAnsi="Times New Roman" w:cs="Times New Roman" w:hint="eastAsia"/>
                <w:kern w:val="0"/>
                <w:szCs w:val="21"/>
              </w:rPr>
              <w:t>秆</w:t>
            </w:r>
            <w:r>
              <w:rPr>
                <w:rFonts w:ascii="Times New Roman" w:hAnsi="Times New Roman" w:cs="Times New Roman"/>
                <w:kern w:val="0"/>
                <w:szCs w:val="21"/>
              </w:rPr>
              <w:t>潜蝇、稻瘟病、纹枯病、稻曲病、南方水稻黑条矮缩病；玉米草地贪夜蛾、玉米螟等</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农业防治、理化诱控、生物防治、生态调控、科学用药</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赫山区、零陵区</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hAnsi="Times New Roman" w:cs="Times New Roman"/>
                <w:szCs w:val="21"/>
              </w:rPr>
            </w:pPr>
          </w:p>
        </w:tc>
      </w:tr>
      <w:tr w:rsidR="00A90DEC">
        <w:trPr>
          <w:trHeight w:val="1080"/>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水稻</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水稻病虫害绿色防控与专业化统防统治融合整县推进</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2000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50000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二化螟、稻飞虱、稻纵卷叶螟、稻</w:t>
            </w:r>
            <w:r>
              <w:rPr>
                <w:rFonts w:ascii="Times New Roman" w:hAnsi="Times New Roman" w:cs="Times New Roman" w:hint="eastAsia"/>
                <w:kern w:val="0"/>
                <w:szCs w:val="21"/>
              </w:rPr>
              <w:t>秆</w:t>
            </w:r>
            <w:r>
              <w:rPr>
                <w:rFonts w:ascii="Times New Roman" w:hAnsi="Times New Roman" w:cs="Times New Roman"/>
                <w:kern w:val="0"/>
                <w:szCs w:val="21"/>
              </w:rPr>
              <w:t>潜蝇、稻瘟病、纹枯病、稻曲病、南方水稻黑条矮缩病</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农业防治、理化诱控、生物防治、生态调控、科学用药、统防统治</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武冈市、岳阳县、鼎城区、临澧县、桃江县</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hAnsi="Times New Roman" w:cs="Times New Roman"/>
                <w:szCs w:val="21"/>
              </w:rPr>
            </w:pPr>
          </w:p>
        </w:tc>
      </w:tr>
      <w:tr w:rsidR="00A90DEC">
        <w:trPr>
          <w:trHeight w:val="853"/>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水稻</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水稻病虫害全程绿色防控示范</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1000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50000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二化螟、稻飞虱、稻纵卷叶螟、稻</w:t>
            </w:r>
            <w:r>
              <w:rPr>
                <w:rFonts w:ascii="Times New Roman" w:hAnsi="Times New Roman" w:cs="Times New Roman" w:hint="eastAsia"/>
                <w:kern w:val="0"/>
                <w:szCs w:val="21"/>
              </w:rPr>
              <w:t>秆</w:t>
            </w:r>
            <w:r>
              <w:rPr>
                <w:rFonts w:ascii="Times New Roman" w:hAnsi="Times New Roman" w:cs="Times New Roman"/>
                <w:kern w:val="0"/>
                <w:szCs w:val="21"/>
              </w:rPr>
              <w:t>潜蝇、稻瘟病、纹枯病、稻曲病、南方水稻黑条矮缩病</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农业防治、理化诱控、生物防治、生态调控、科学用药</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kern w:val="0"/>
                <w:szCs w:val="21"/>
              </w:rPr>
            </w:pPr>
            <w:r>
              <w:rPr>
                <w:rFonts w:ascii="Times New Roman" w:hAnsi="Times New Roman" w:cs="Times New Roman"/>
                <w:kern w:val="0"/>
                <w:szCs w:val="21"/>
              </w:rPr>
              <w:t>长沙县、浏阳市、宁乡市、衡阳县、攸县、邵阳县、邵东市、华容县、</w:t>
            </w:r>
          </w:p>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平江县、桃源县、资阳区、双峰县、涟源市</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hAnsi="Times New Roman" w:cs="Times New Roman"/>
                <w:szCs w:val="21"/>
              </w:rPr>
            </w:pPr>
          </w:p>
        </w:tc>
      </w:tr>
      <w:tr w:rsidR="00A90DEC">
        <w:trPr>
          <w:trHeight w:val="720"/>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水稻</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稻渔综合种养病虫绿色防控模式创新示范</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500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3000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二化螟、稻飞虱、稻纵卷叶螟、稻瘟病、纹枯病、稻曲病</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农业防治、理化诱控、生物防治、生态调控、科学用药</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临湘市、津市市、安乡县、慈利县、永定区、桑植县、南县、沅江市、永兴县、永顺县</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hAnsi="Times New Roman" w:cs="Times New Roman"/>
                <w:szCs w:val="21"/>
              </w:rPr>
            </w:pPr>
          </w:p>
        </w:tc>
      </w:tr>
      <w:tr w:rsidR="00A90DEC">
        <w:trPr>
          <w:trHeight w:val="720"/>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水稻</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稻烟轮作病虫绿色防控模式创新示范</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1000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3000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二化螟、稻飞虱、稻纵卷叶螟、稻瘟病、纹枯病、稻曲病</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农业防治、理化诱控、生物防治、生态调控、科学用药</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桃源县、桂阳县</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jc w:val="center"/>
              <w:rPr>
                <w:rFonts w:ascii="Times New Roman" w:hAnsi="Times New Roman" w:cs="Times New Roman"/>
                <w:szCs w:val="21"/>
              </w:rPr>
            </w:pPr>
          </w:p>
        </w:tc>
      </w:tr>
      <w:tr w:rsidR="00A90DEC">
        <w:trPr>
          <w:trHeight w:val="1440"/>
          <w:jc w:val="center"/>
        </w:trPr>
        <w:tc>
          <w:tcPr>
            <w:tcW w:w="8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玉米</w:t>
            </w:r>
          </w:p>
        </w:tc>
        <w:tc>
          <w:tcPr>
            <w:tcW w:w="19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草地贪夜蛾综合防控示范</w:t>
            </w:r>
          </w:p>
        </w:tc>
        <w:tc>
          <w:tcPr>
            <w:tcW w:w="10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1500</w:t>
            </w:r>
          </w:p>
        </w:tc>
        <w:tc>
          <w:tcPr>
            <w:tcW w:w="9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center"/>
              <w:textAlignment w:val="center"/>
              <w:rPr>
                <w:rFonts w:ascii="Times New Roman" w:hAnsi="Times New Roman" w:cs="Times New Roman"/>
                <w:szCs w:val="21"/>
              </w:rPr>
            </w:pPr>
            <w:r>
              <w:rPr>
                <w:rFonts w:ascii="Times New Roman" w:hAnsi="Times New Roman" w:cs="Times New Roman"/>
                <w:kern w:val="0"/>
                <w:szCs w:val="21"/>
              </w:rPr>
              <w:t>10000</w:t>
            </w:r>
          </w:p>
        </w:tc>
        <w:tc>
          <w:tcPr>
            <w:tcW w:w="29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草地贪夜蛾</w:t>
            </w:r>
          </w:p>
        </w:tc>
        <w:tc>
          <w:tcPr>
            <w:tcW w:w="21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农业防治、理化诱控、生物防治、科学用药</w:t>
            </w:r>
          </w:p>
        </w:tc>
        <w:tc>
          <w:tcPr>
            <w:tcW w:w="3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8E561F">
            <w:pPr>
              <w:widowControl/>
              <w:adjustRightInd w:val="0"/>
              <w:snapToGrid w:val="0"/>
              <w:jc w:val="left"/>
              <w:textAlignment w:val="center"/>
              <w:rPr>
                <w:rFonts w:ascii="Times New Roman" w:hAnsi="Times New Roman" w:cs="Times New Roman"/>
                <w:szCs w:val="21"/>
              </w:rPr>
            </w:pPr>
            <w:r>
              <w:rPr>
                <w:rFonts w:ascii="Times New Roman" w:hAnsi="Times New Roman" w:cs="Times New Roman"/>
                <w:kern w:val="0"/>
                <w:szCs w:val="21"/>
              </w:rPr>
              <w:t>武冈</w:t>
            </w:r>
            <w:r>
              <w:rPr>
                <w:rFonts w:ascii="Times New Roman" w:hAnsi="Times New Roman" w:cs="Times New Roman" w:hint="eastAsia"/>
                <w:kern w:val="0"/>
                <w:szCs w:val="21"/>
              </w:rPr>
              <w:t>市</w:t>
            </w:r>
            <w:r>
              <w:rPr>
                <w:rFonts w:ascii="Times New Roman" w:hAnsi="Times New Roman" w:cs="Times New Roman"/>
                <w:kern w:val="0"/>
                <w:szCs w:val="21"/>
              </w:rPr>
              <w:t>、新宁</w:t>
            </w:r>
            <w:r>
              <w:rPr>
                <w:rFonts w:ascii="Times New Roman" w:hAnsi="Times New Roman" w:cs="Times New Roman" w:hint="eastAsia"/>
                <w:kern w:val="0"/>
                <w:szCs w:val="21"/>
              </w:rPr>
              <w:t>县</w:t>
            </w:r>
            <w:r>
              <w:rPr>
                <w:rFonts w:ascii="Times New Roman" w:hAnsi="Times New Roman" w:cs="Times New Roman"/>
                <w:kern w:val="0"/>
                <w:szCs w:val="21"/>
              </w:rPr>
              <w:t>、汨罗</w:t>
            </w:r>
            <w:r>
              <w:rPr>
                <w:rFonts w:ascii="Times New Roman" w:hAnsi="Times New Roman" w:cs="Times New Roman" w:hint="eastAsia"/>
                <w:kern w:val="0"/>
                <w:szCs w:val="21"/>
              </w:rPr>
              <w:t>市</w:t>
            </w:r>
            <w:r>
              <w:rPr>
                <w:rFonts w:ascii="Times New Roman" w:hAnsi="Times New Roman" w:cs="Times New Roman"/>
                <w:kern w:val="0"/>
                <w:szCs w:val="21"/>
              </w:rPr>
              <w:t>、岳阳</w:t>
            </w:r>
            <w:r>
              <w:rPr>
                <w:rFonts w:ascii="Times New Roman" w:hAnsi="Times New Roman" w:cs="Times New Roman" w:hint="eastAsia"/>
                <w:kern w:val="0"/>
                <w:szCs w:val="21"/>
              </w:rPr>
              <w:t>县</w:t>
            </w:r>
            <w:r>
              <w:rPr>
                <w:rFonts w:ascii="Times New Roman" w:hAnsi="Times New Roman" w:cs="Times New Roman"/>
                <w:kern w:val="0"/>
                <w:szCs w:val="21"/>
              </w:rPr>
              <w:t>、石门</w:t>
            </w:r>
            <w:r>
              <w:rPr>
                <w:rFonts w:ascii="Times New Roman" w:hAnsi="Times New Roman" w:cs="Times New Roman" w:hint="eastAsia"/>
                <w:kern w:val="0"/>
                <w:szCs w:val="21"/>
              </w:rPr>
              <w:t>县</w:t>
            </w:r>
            <w:r>
              <w:rPr>
                <w:rFonts w:ascii="Times New Roman" w:hAnsi="Times New Roman" w:cs="Times New Roman"/>
                <w:kern w:val="0"/>
                <w:szCs w:val="21"/>
              </w:rPr>
              <w:t>、澧县、慈利</w:t>
            </w:r>
            <w:r>
              <w:rPr>
                <w:rFonts w:ascii="Times New Roman" w:hAnsi="Times New Roman" w:cs="Times New Roman" w:hint="eastAsia"/>
                <w:kern w:val="0"/>
                <w:szCs w:val="21"/>
              </w:rPr>
              <w:t>县</w:t>
            </w:r>
            <w:r>
              <w:rPr>
                <w:rFonts w:ascii="Times New Roman" w:hAnsi="Times New Roman" w:cs="Times New Roman"/>
                <w:kern w:val="0"/>
                <w:szCs w:val="21"/>
              </w:rPr>
              <w:t>、永定</w:t>
            </w:r>
            <w:r>
              <w:rPr>
                <w:rFonts w:ascii="Times New Roman" w:hAnsi="Times New Roman" w:cs="Times New Roman" w:hint="eastAsia"/>
                <w:kern w:val="0"/>
                <w:szCs w:val="21"/>
              </w:rPr>
              <w:t>区</w:t>
            </w:r>
            <w:r>
              <w:rPr>
                <w:rFonts w:ascii="Times New Roman" w:hAnsi="Times New Roman" w:cs="Times New Roman"/>
                <w:kern w:val="0"/>
                <w:szCs w:val="21"/>
              </w:rPr>
              <w:t>、桑植</w:t>
            </w:r>
            <w:r>
              <w:rPr>
                <w:rFonts w:ascii="Times New Roman" w:hAnsi="Times New Roman" w:cs="Times New Roman" w:hint="eastAsia"/>
                <w:kern w:val="0"/>
                <w:szCs w:val="21"/>
              </w:rPr>
              <w:t>县</w:t>
            </w:r>
            <w:r>
              <w:rPr>
                <w:rFonts w:ascii="Times New Roman" w:hAnsi="Times New Roman" w:cs="Times New Roman"/>
                <w:kern w:val="0"/>
                <w:szCs w:val="21"/>
              </w:rPr>
              <w:t>、安化</w:t>
            </w:r>
            <w:r>
              <w:rPr>
                <w:rFonts w:ascii="Times New Roman" w:hAnsi="Times New Roman" w:cs="Times New Roman" w:hint="eastAsia"/>
                <w:kern w:val="0"/>
                <w:szCs w:val="21"/>
              </w:rPr>
              <w:t>县</w:t>
            </w:r>
            <w:r>
              <w:rPr>
                <w:rFonts w:ascii="Times New Roman" w:hAnsi="Times New Roman" w:cs="Times New Roman"/>
                <w:kern w:val="0"/>
                <w:szCs w:val="21"/>
              </w:rPr>
              <w:t>、宜章</w:t>
            </w:r>
            <w:r>
              <w:rPr>
                <w:rFonts w:ascii="Times New Roman" w:hAnsi="Times New Roman" w:cs="Times New Roman" w:hint="eastAsia"/>
                <w:kern w:val="0"/>
                <w:szCs w:val="21"/>
              </w:rPr>
              <w:t>县</w:t>
            </w:r>
            <w:r>
              <w:rPr>
                <w:rFonts w:ascii="Times New Roman" w:hAnsi="Times New Roman" w:cs="Times New Roman"/>
                <w:kern w:val="0"/>
                <w:szCs w:val="21"/>
              </w:rPr>
              <w:t>、资兴</w:t>
            </w:r>
            <w:r>
              <w:rPr>
                <w:rFonts w:ascii="Times New Roman" w:hAnsi="Times New Roman" w:cs="Times New Roman" w:hint="eastAsia"/>
                <w:kern w:val="0"/>
                <w:szCs w:val="21"/>
              </w:rPr>
              <w:t>市</w:t>
            </w:r>
            <w:r>
              <w:rPr>
                <w:rFonts w:ascii="Times New Roman" w:hAnsi="Times New Roman" w:cs="Times New Roman"/>
                <w:kern w:val="0"/>
                <w:szCs w:val="21"/>
              </w:rPr>
              <w:t>、道县、东安</w:t>
            </w:r>
            <w:r>
              <w:rPr>
                <w:rFonts w:ascii="Times New Roman" w:hAnsi="Times New Roman" w:cs="Times New Roman" w:hint="eastAsia"/>
                <w:kern w:val="0"/>
                <w:szCs w:val="21"/>
              </w:rPr>
              <w:t>县</w:t>
            </w:r>
            <w:r>
              <w:rPr>
                <w:rFonts w:ascii="Times New Roman" w:hAnsi="Times New Roman" w:cs="Times New Roman"/>
                <w:kern w:val="0"/>
                <w:szCs w:val="21"/>
              </w:rPr>
              <w:t>、江华</w:t>
            </w:r>
            <w:r>
              <w:rPr>
                <w:rFonts w:ascii="Times New Roman" w:hAnsi="Times New Roman" w:cs="Times New Roman" w:hint="eastAsia"/>
                <w:kern w:val="0"/>
                <w:szCs w:val="21"/>
              </w:rPr>
              <w:t>县</w:t>
            </w:r>
            <w:r>
              <w:rPr>
                <w:rFonts w:ascii="Times New Roman" w:hAnsi="Times New Roman" w:cs="Times New Roman"/>
                <w:kern w:val="0"/>
                <w:szCs w:val="21"/>
              </w:rPr>
              <w:t>、芷江</w:t>
            </w:r>
            <w:r>
              <w:rPr>
                <w:rFonts w:ascii="Times New Roman" w:hAnsi="Times New Roman" w:cs="Times New Roman" w:hint="eastAsia"/>
                <w:kern w:val="0"/>
                <w:szCs w:val="21"/>
              </w:rPr>
              <w:t>县</w:t>
            </w:r>
            <w:r>
              <w:rPr>
                <w:rFonts w:ascii="Times New Roman" w:hAnsi="Times New Roman" w:cs="Times New Roman"/>
                <w:kern w:val="0"/>
                <w:szCs w:val="21"/>
              </w:rPr>
              <w:t>、靖州</w:t>
            </w:r>
            <w:r>
              <w:rPr>
                <w:rFonts w:ascii="Times New Roman" w:hAnsi="Times New Roman" w:cs="Times New Roman" w:hint="eastAsia"/>
                <w:kern w:val="0"/>
                <w:szCs w:val="21"/>
              </w:rPr>
              <w:t>县</w:t>
            </w:r>
            <w:r>
              <w:rPr>
                <w:rFonts w:ascii="Times New Roman" w:hAnsi="Times New Roman" w:cs="Times New Roman"/>
                <w:kern w:val="0"/>
                <w:szCs w:val="21"/>
              </w:rPr>
              <w:t>、新化</w:t>
            </w:r>
            <w:r>
              <w:rPr>
                <w:rFonts w:ascii="Times New Roman" w:hAnsi="Times New Roman" w:cs="Times New Roman" w:hint="eastAsia"/>
                <w:kern w:val="0"/>
                <w:szCs w:val="21"/>
              </w:rPr>
              <w:t>县</w:t>
            </w:r>
            <w:r>
              <w:rPr>
                <w:rFonts w:ascii="Times New Roman" w:hAnsi="Times New Roman" w:cs="Times New Roman"/>
                <w:kern w:val="0"/>
                <w:szCs w:val="21"/>
              </w:rPr>
              <w:t>、永顺</w:t>
            </w:r>
            <w:r>
              <w:rPr>
                <w:rFonts w:ascii="Times New Roman" w:hAnsi="Times New Roman" w:cs="Times New Roman" w:hint="eastAsia"/>
                <w:kern w:val="0"/>
                <w:szCs w:val="21"/>
              </w:rPr>
              <w:t>县</w:t>
            </w:r>
            <w:r>
              <w:rPr>
                <w:rFonts w:ascii="Times New Roman" w:hAnsi="Times New Roman" w:cs="Times New Roman"/>
                <w:kern w:val="0"/>
                <w:szCs w:val="21"/>
              </w:rPr>
              <w:t>、凤凰</w:t>
            </w:r>
            <w:r>
              <w:rPr>
                <w:rFonts w:ascii="Times New Roman" w:hAnsi="Times New Roman" w:cs="Times New Roman" w:hint="eastAsia"/>
                <w:kern w:val="0"/>
                <w:szCs w:val="21"/>
              </w:rPr>
              <w:t>县</w:t>
            </w:r>
            <w:r>
              <w:rPr>
                <w:rFonts w:ascii="Times New Roman" w:hAnsi="Times New Roman" w:cs="Times New Roman"/>
                <w:kern w:val="0"/>
                <w:szCs w:val="21"/>
              </w:rPr>
              <w:t>、省棉科所</w:t>
            </w:r>
          </w:p>
        </w:tc>
        <w:tc>
          <w:tcPr>
            <w:tcW w:w="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90DEC" w:rsidRDefault="00A90DEC">
            <w:pPr>
              <w:widowControl/>
              <w:adjustRightInd w:val="0"/>
              <w:snapToGrid w:val="0"/>
              <w:rPr>
                <w:rFonts w:ascii="Times New Roman" w:hAnsi="Times New Roman" w:cs="Times New Roman"/>
                <w:szCs w:val="21"/>
              </w:rPr>
            </w:pPr>
          </w:p>
        </w:tc>
      </w:tr>
    </w:tbl>
    <w:p w:rsidR="00A90DEC" w:rsidRDefault="00A90DEC">
      <w:pPr>
        <w:rPr>
          <w:rFonts w:ascii="Times New Roman" w:eastAsia="仿宋_GB2312" w:hAnsi="Times New Roman" w:cs="Times New Roman"/>
          <w:sz w:val="18"/>
          <w:szCs w:val="18"/>
        </w:rPr>
        <w:sectPr w:rsidR="00A90DEC">
          <w:pgSz w:w="16838" w:h="11906" w:orient="landscape"/>
          <w:pgMar w:top="1800" w:right="1440" w:bottom="1800" w:left="1440" w:header="851" w:footer="992" w:gutter="0"/>
          <w:cols w:space="425"/>
          <w:docGrid w:type="lines" w:linePitch="312"/>
        </w:sectPr>
      </w:pPr>
    </w:p>
    <w:bookmarkEnd w:id="0"/>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bookmarkStart w:id="1" w:name="_GoBack"/>
      <w:bookmarkEnd w:id="1"/>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sectPr w:rsidR="00A90DEC">
          <w:footerReference w:type="default" r:id="rId8"/>
          <w:pgSz w:w="11906" w:h="16838"/>
          <w:pgMar w:top="1440" w:right="1803" w:bottom="1440" w:left="1803" w:header="851" w:footer="992" w:gutter="0"/>
          <w:cols w:space="0"/>
          <w:docGrid w:type="lines" w:linePitch="312"/>
        </w:sect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A90DEC">
      <w:pPr>
        <w:rPr>
          <w:rFonts w:ascii="Times New Roman" w:eastAsia="仿宋_GB2312" w:hAnsi="Times New Roman" w:cs="Times New Roman"/>
          <w:sz w:val="18"/>
          <w:szCs w:val="18"/>
        </w:rPr>
      </w:pPr>
    </w:p>
    <w:p w:rsidR="00A90DEC" w:rsidRDefault="008E561F">
      <w:pPr>
        <w:spacing w:line="580" w:lineRule="exact"/>
        <w:rPr>
          <w:rFonts w:ascii="Times New Roman" w:eastAsia="仿宋_GB2312" w:hAnsi="Times New Roman" w:cs="Times New Roman"/>
          <w:sz w:val="28"/>
          <w:szCs w:val="28"/>
        </w:rPr>
      </w:pPr>
      <w:r>
        <w:rPr>
          <w:rFonts w:ascii="Times New Roman" w:eastAsia="黑体" w:hAnsi="Times New Roman" w:cs="Times New Roman"/>
          <w:sz w:val="28"/>
          <w:szCs w:val="28"/>
        </w:rPr>
        <w:t>信息公开选项：</w:t>
      </w:r>
      <w:r>
        <w:rPr>
          <w:rFonts w:ascii="方正小标宋简体" w:eastAsia="方正小标宋简体" w:hAnsi="方正小标宋简体" w:cs="方正小标宋简体" w:hint="eastAsia"/>
          <w:sz w:val="28"/>
          <w:szCs w:val="28"/>
        </w:rPr>
        <w:t xml:space="preserve">公开  </w:t>
      </w:r>
    </w:p>
    <w:p w:rsidR="00A90DEC" w:rsidRDefault="00A459BC">
      <w:pPr>
        <w:spacing w:line="580" w:lineRule="exact"/>
        <w:ind w:firstLineChars="100" w:firstLine="210"/>
        <w:rPr>
          <w:rFonts w:ascii="Times New Roman" w:eastAsia="仿宋_GB2312" w:hAnsi="Times New Roman" w:cs="Times New Roman"/>
          <w:sz w:val="32"/>
          <w:szCs w:val="32"/>
        </w:rPr>
      </w:pPr>
      <w:r w:rsidRPr="00A459BC">
        <w:rPr>
          <w:rFonts w:ascii="Times New Roman" w:eastAsia="仿宋_GB2312" w:hAnsi="Times New Roman" w:cs="Times New Roman"/>
        </w:rPr>
        <w:pict>
          <v:line id="直接连接符 2" o:spid="_x0000_s2050" style="position:absolute;left:0;text-align:left;z-index:251660288;mso-position-horizontal:center" from="0,3.95pt" to="442.2pt,3.95pt" o:gfxdata="UEsDBAoAAAAAAIdO4kAAAAAAAAAAAAAAAAAEAAAAZHJzL1BLAwQUAAAACACHTuJA1QC7QNQAAAAE&#10;AQAADwAAAGRycy9kb3ducmV2LnhtbE2PzW7CMBCE75V4B2uReisOCBU3jcOBCqFWvQCVel3ibZwS&#10;r0Nsfvr2uFza42hGM98U84trxYn60HjWMB5lIIgrbxquNXxslw8KRIjIBlvPpOGHAszLwV2BufFn&#10;XtNpE2uRSjjkqMHG2OVShsqSwzDyHXHyvnzvMCbZ19L0eE7lrpWTLHuUDhtOCxY7Wliq9puj04Av&#10;q3X8VJO3WfNq37+3y8PKqoPW98Nx9gwi0iX+heEXP6FDmZh2/sgmiFZDOhI1zJ5AJFOp6RTE7qZl&#10;Wcj/8OUVUEsDBBQAAAAIAIdO4kBJ/SQD9AEAAOUDAAAOAAAAZHJzL2Uyb0RvYy54bWytU72OEzEQ&#10;7pF4B8s92STiDlhlc8WFo0EQCXiAie3dteQ/eZxs8hK8ABIdVJT0vA3HYzD25nJwNCnYwjv2jL+Z&#10;75vx4mpvDdupiNq7hs8mU86UE15q1zX8w/ubJ885wwROgvFONfygkF8tHz9aDKFWc997I1VkBOKw&#10;HkLD+5RCXVUoemUBJz4oR87WRwuJtrGrZISB0K2p5tPpZTX4KEP0QiHS6Wp08iNiPAfQt60WauXF&#10;1iqXRtSoDCSihL0OyJel2rZVIr1tW1SJmYYT01RWSkL2Jq/VcgF1FyH0WhxLgHNKeMDJgnaU9AS1&#10;ggRsG/U/UFaL6NG3aSK8rUYiRRFiMZs+0OZdD0EVLiQ1hpPo+P9gxZvdOjItGz7nzIGlht9++v7z&#10;45dfPz7TevvtK5tnkYaANcVeu3U87jCsY2a8b6PNf+LC9kXYw0lYtU9M0OHF5ezixVPSXNz5qvuL&#10;IWJ6pbxl2Wi40S5zhhp2rzFRMgq9C8nHxrGB5nb+bJrxgCawpc6TaQOxQNeVy+iNljfamHwFY7e5&#10;NpHtIE9B+TInAv4rLGdZAfZjXHGN89ErkC+dZOkQSB9Hz4LnGqySnBlFryhbBAh1Am3OiaTUxlEF&#10;WdZRyGxtvDxQN7Yh6q4nKWalyuyh7pd6j5Oax+vPfUG6f5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UAu0DUAAAABAEAAA8AAAAAAAAAAQAgAAAAIgAAAGRycy9kb3ducmV2LnhtbFBLAQIUABQA&#10;AAAIAIdO4kBJ/SQD9AEAAOUDAAAOAAAAAAAAAAEAIAAAACMBAABkcnMvZTJvRG9jLnhtbFBLBQYA&#10;AAAABgAGAFkBAACJBQAAAAA=&#10;" strokeweight="1pt"/>
        </w:pict>
      </w:r>
      <w:r w:rsidRPr="00A459BC">
        <w:rPr>
          <w:rFonts w:ascii="Times New Roman" w:eastAsia="仿宋_GB2312" w:hAnsi="Times New Roman" w:cs="Times New Roman"/>
        </w:rPr>
        <w:pict>
          <v:line id="直接连接符 1" o:spid="_x0000_s2051" style="position:absolute;left:0;text-align:left;z-index:251659264;mso-position-horizontal:center" from="0,32.8pt" to="442.2pt,32.8pt" o:gfxdata="UEsDBAoAAAAAAIdO4kAAAAAAAAAAAAAAAAAEAAAAZHJzL1BLAwQUAAAACACHTuJAs0gmsNYAAAAG&#10;AQAADwAAAGRycy9kb3ducmV2LnhtbE2PzU7DMBCE75V4B2uRuLVOqxKsEKcHUFWBemmLxHUbL3Eg&#10;Xqex+8Pb44oDHHdmNPNtubi4TpxoCK1nDdNJBoK49qblRsPbbjlWIEJENth5Jg3fFGBR3YxKLIw/&#10;84ZO29iIVMKhQA02xr6QMtSWHIaJ74mT9+EHhzGdQyPNgOdU7jo5y7JcOmw5LVjs6clS/bU9Og34&#10;vNrEdzV7fWhf7PpztzysrDpofXc7zR5BRLrEvzBc8RM6VIlp749sgug0pEeihvw+B5FcpeZzEPtf&#10;QVal/I9f/QBQSwMEFAAAAAgAh07iQOIwQ7zzAQAA5QMAAA4AAABkcnMvZTJvRG9jLnhtbK1TvY4T&#10;MRDukXgHyz3ZJOIOWGVzxYWjQRAJeICJ7d215D95nGzyErwAEh1UlPS8DcdjMPbmcnA0KdjCO/aM&#10;v5nvm/Hiam8N26mI2ruGzyZTzpQTXmrXNfzD+5snzznDBE6C8U41/KCQXy0fP1oMoVZz33sjVWQE&#10;4rAeQsP7lEJdVSh6ZQEnPihHztZHC4m2satkhIHQranm0+llNfgoQ/RCIdLpanTyI2I8B9C3rRZq&#10;5cXWKpdG1KgMJKKEvQ7Il6XatlUivW1bVImZhhPTVFZKQvYmr9VyAXUXIfRaHEuAc0p4wMmCdpT0&#10;BLWCBGwb9T9QVovo0bdpIrytRiJFEWIxmz7Q5l0PQRUuJDWGk+j4/2DFm906Mi1pEjhzYKnht5++&#10;//z45dePz7TefvvKZlmkIWBNsdduHY87DOuYGe/baPOfuLB9EfZwElbtExN0eHE5u3jxlDQXd77q&#10;/mKImF4pb1k2Gm60y5yhht1rTJSMQu9C8rFxbKBq58+mGQ9oAlvqPJk2EAt0XbmM3mh5o43JVzB2&#10;m2sT2Q7yFJQvcyLgv8JylhVgP8YV1zgfvQL50kmWDoH0cfQseK7BKsmZUfSKskWAUCfQ5pxISm0c&#10;VZBlHYXM1sbLA3VjG6LuepKiKF9iqPul3uOk5vH6c1+Q7l/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zSCaw1gAAAAYBAAAPAAAAAAAAAAEAIAAAACIAAABkcnMvZG93bnJldi54bWxQSwECFAAU&#10;AAAACACHTuJA4jBDvPMBAADlAwAADgAAAAAAAAABACAAAAAlAQAAZHJzL2Uyb0RvYy54bWxQSwUG&#10;AAAAAAYABgBZAQAAigUAAAAA&#10;" strokeweight="1pt"/>
        </w:pict>
      </w:r>
      <w:r w:rsidR="008E561F">
        <w:rPr>
          <w:rFonts w:ascii="Times New Roman" w:eastAsia="仿宋_GB2312" w:hAnsi="Times New Roman" w:cs="Times New Roman"/>
          <w:spacing w:val="20"/>
          <w:sz w:val="28"/>
          <w:szCs w:val="28"/>
        </w:rPr>
        <w:t>湖南省植保植检站</w:t>
      </w:r>
      <w:r w:rsidR="008E561F">
        <w:rPr>
          <w:rFonts w:ascii="Times New Roman" w:eastAsia="仿宋_GB2312" w:hAnsi="Times New Roman" w:cs="Times New Roman"/>
          <w:sz w:val="28"/>
          <w:szCs w:val="28"/>
        </w:rPr>
        <w:t>20</w:t>
      </w:r>
      <w:r w:rsidR="008E561F">
        <w:rPr>
          <w:rFonts w:ascii="Times New Roman" w:eastAsia="仿宋_GB2312" w:hAnsi="Times New Roman" w:cs="Times New Roman" w:hint="eastAsia"/>
          <w:sz w:val="28"/>
          <w:szCs w:val="28"/>
        </w:rPr>
        <w:t>21</w:t>
      </w:r>
      <w:r w:rsidR="008E561F">
        <w:rPr>
          <w:rFonts w:ascii="Times New Roman" w:eastAsia="仿宋_GB2312" w:hAnsi="Times New Roman" w:cs="Times New Roman"/>
          <w:sz w:val="28"/>
          <w:szCs w:val="28"/>
        </w:rPr>
        <w:t>年</w:t>
      </w:r>
      <w:r w:rsidR="008E561F">
        <w:rPr>
          <w:rFonts w:ascii="Times New Roman" w:eastAsia="仿宋_GB2312" w:hAnsi="Times New Roman" w:cs="Times New Roman" w:hint="eastAsia"/>
          <w:sz w:val="28"/>
          <w:szCs w:val="28"/>
        </w:rPr>
        <w:t>5</w:t>
      </w:r>
      <w:r w:rsidR="008E561F">
        <w:rPr>
          <w:rFonts w:ascii="Times New Roman" w:eastAsia="仿宋_GB2312" w:hAnsi="Times New Roman" w:cs="Times New Roman"/>
          <w:sz w:val="28"/>
          <w:szCs w:val="28"/>
        </w:rPr>
        <w:t>月</w:t>
      </w:r>
      <w:r w:rsidR="008E561F">
        <w:rPr>
          <w:rFonts w:ascii="Times New Roman" w:eastAsia="仿宋_GB2312" w:hAnsi="Times New Roman" w:cs="Times New Roman" w:hint="eastAsia"/>
          <w:sz w:val="28"/>
          <w:szCs w:val="28"/>
        </w:rPr>
        <w:t>13</w:t>
      </w:r>
      <w:r w:rsidR="008E561F">
        <w:rPr>
          <w:rFonts w:ascii="Times New Roman" w:eastAsia="仿宋_GB2312" w:hAnsi="Times New Roman" w:cs="Times New Roman"/>
          <w:sz w:val="28"/>
          <w:szCs w:val="28"/>
        </w:rPr>
        <w:t>日印发</w:t>
      </w:r>
    </w:p>
    <w:p w:rsidR="00A90DEC" w:rsidRDefault="00A90DEC">
      <w:pPr>
        <w:rPr>
          <w:rFonts w:ascii="Times New Roman" w:eastAsia="仿宋_GB2312" w:hAnsi="Times New Roman" w:cs="Times New Roman"/>
          <w:sz w:val="18"/>
          <w:szCs w:val="18"/>
        </w:rPr>
      </w:pPr>
    </w:p>
    <w:sectPr w:rsidR="00A90DEC" w:rsidSect="00A90DEC">
      <w:footerReference w:type="default" r:id="rId9"/>
      <w:pgSz w:w="11906" w:h="16838"/>
      <w:pgMar w:top="1440" w:right="1803" w:bottom="1440" w:left="1803" w:header="851" w:footer="1304"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3EF4" w:rsidRDefault="00C43EF4" w:rsidP="00A90DEC">
      <w:r>
        <w:separator/>
      </w:r>
    </w:p>
  </w:endnote>
  <w:endnote w:type="continuationSeparator" w:id="1">
    <w:p w:rsidR="00C43EF4" w:rsidRDefault="00C43EF4" w:rsidP="00A90D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DEC" w:rsidRDefault="00A459BC">
    <w:pPr>
      <w:pStyle w:val="a3"/>
    </w:pPr>
    <w:r>
      <w:pict>
        <v:shapetype id="_x0000_t202" coordsize="21600,21600" o:spt="202" path="m,l,21600r21600,l21600,xe">
          <v:stroke joinstyle="miter"/>
          <v:path gradientshapeok="t" o:connecttype="rect"/>
        </v:shapetype>
        <v:shape id="_x0000_s1026" type="#_x0000_t202" style="position:absolute;margin-left:208pt;margin-top:0;width:2in;height:2in;z-index:251660288;mso-wrap-style:none;mso-position-horizontal:outside;mso-position-horizontal-relative:margin" filled="f" stroked="f" strokeweight=".5pt">
          <v:textbox style="mso-fit-shape-to-text:t" inset="0,0,0,0">
            <w:txbxContent>
              <w:p w:rsidR="00A90DEC" w:rsidRDefault="008E561F">
                <w:pPr>
                  <w:pStyle w:val="a3"/>
                  <w:rPr>
                    <w:rFonts w:ascii="Times New Roman" w:hAnsi="Times New Roman" w:cs="Times New Roman"/>
                    <w:sz w:val="24"/>
                    <w:szCs w:val="24"/>
                  </w:rPr>
                </w:pPr>
                <w:r>
                  <w:rPr>
                    <w:rFonts w:ascii="Times New Roman" w:hAnsi="Times New Roman" w:cs="Times New Roman"/>
                    <w:sz w:val="24"/>
                    <w:szCs w:val="24"/>
                  </w:rPr>
                  <w:t xml:space="preserve">— </w:t>
                </w:r>
                <w:r w:rsidR="00A459BC">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sidR="00A459BC">
                  <w:rPr>
                    <w:rFonts w:ascii="Times New Roman" w:hAnsi="Times New Roman" w:cs="Times New Roman"/>
                    <w:sz w:val="24"/>
                    <w:szCs w:val="24"/>
                  </w:rPr>
                  <w:fldChar w:fldCharType="separate"/>
                </w:r>
                <w:r w:rsidR="00CA53B5">
                  <w:rPr>
                    <w:rFonts w:ascii="Times New Roman" w:hAnsi="Times New Roman" w:cs="Times New Roman"/>
                    <w:noProof/>
                    <w:sz w:val="24"/>
                    <w:szCs w:val="24"/>
                  </w:rPr>
                  <w:t>4</w:t>
                </w:r>
                <w:r w:rsidR="00A459BC">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DEC" w:rsidRDefault="00A90DEC">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0DEC" w:rsidRDefault="00A90DE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3EF4" w:rsidRDefault="00C43EF4" w:rsidP="00A90DEC">
      <w:r>
        <w:separator/>
      </w:r>
    </w:p>
  </w:footnote>
  <w:footnote w:type="continuationSeparator" w:id="1">
    <w:p w:rsidR="00C43EF4" w:rsidRDefault="00C43EF4" w:rsidP="00A90D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defaultTabStop w:val="420"/>
  <w:drawingGridVerticalSpacing w:val="156"/>
  <w:noPunctuationKerning/>
  <w:characterSpacingControl w:val="compressPunctuation"/>
  <w:hdrShapeDefaults>
    <o:shapedefaults v:ext="edit" spidmax="5122"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65D635A"/>
    <w:rsid w:val="00022693"/>
    <w:rsid w:val="00076E67"/>
    <w:rsid w:val="00091396"/>
    <w:rsid w:val="000A4D14"/>
    <w:rsid w:val="002A4555"/>
    <w:rsid w:val="00437394"/>
    <w:rsid w:val="004C76C5"/>
    <w:rsid w:val="005D4D51"/>
    <w:rsid w:val="007E7318"/>
    <w:rsid w:val="008E561F"/>
    <w:rsid w:val="009578C2"/>
    <w:rsid w:val="00A30441"/>
    <w:rsid w:val="00A459BC"/>
    <w:rsid w:val="00A90DEC"/>
    <w:rsid w:val="00BC103B"/>
    <w:rsid w:val="00C43EF4"/>
    <w:rsid w:val="00C507D9"/>
    <w:rsid w:val="00C8296A"/>
    <w:rsid w:val="00CA53B5"/>
    <w:rsid w:val="00CB0387"/>
    <w:rsid w:val="00E10B3D"/>
    <w:rsid w:val="01026024"/>
    <w:rsid w:val="010347B1"/>
    <w:rsid w:val="01252DE0"/>
    <w:rsid w:val="01840E16"/>
    <w:rsid w:val="02AE2192"/>
    <w:rsid w:val="032606B8"/>
    <w:rsid w:val="03D619BB"/>
    <w:rsid w:val="043C68D4"/>
    <w:rsid w:val="053E2CDE"/>
    <w:rsid w:val="05971A2A"/>
    <w:rsid w:val="05C4088D"/>
    <w:rsid w:val="062737F6"/>
    <w:rsid w:val="06624034"/>
    <w:rsid w:val="06DB3025"/>
    <w:rsid w:val="08051828"/>
    <w:rsid w:val="08BF7580"/>
    <w:rsid w:val="09131193"/>
    <w:rsid w:val="0976590A"/>
    <w:rsid w:val="0A402B0D"/>
    <w:rsid w:val="0AC960D4"/>
    <w:rsid w:val="0C0D6EFF"/>
    <w:rsid w:val="0DA54BDE"/>
    <w:rsid w:val="0DC22740"/>
    <w:rsid w:val="0E2C622F"/>
    <w:rsid w:val="0E5F5558"/>
    <w:rsid w:val="0F9C1A89"/>
    <w:rsid w:val="0FFF4B8E"/>
    <w:rsid w:val="10861C12"/>
    <w:rsid w:val="13075E57"/>
    <w:rsid w:val="13E33EEC"/>
    <w:rsid w:val="13F67FA3"/>
    <w:rsid w:val="14282783"/>
    <w:rsid w:val="14E6541F"/>
    <w:rsid w:val="14FD3035"/>
    <w:rsid w:val="15DD48BF"/>
    <w:rsid w:val="17EA1964"/>
    <w:rsid w:val="18016812"/>
    <w:rsid w:val="1A397704"/>
    <w:rsid w:val="1AFE17C6"/>
    <w:rsid w:val="1BBD0C23"/>
    <w:rsid w:val="1CF701FA"/>
    <w:rsid w:val="1DA765F2"/>
    <w:rsid w:val="1DDC524B"/>
    <w:rsid w:val="1E0D0E05"/>
    <w:rsid w:val="1E6F603D"/>
    <w:rsid w:val="1F8103BB"/>
    <w:rsid w:val="202F6E9F"/>
    <w:rsid w:val="20AC47F8"/>
    <w:rsid w:val="20D2138B"/>
    <w:rsid w:val="20E13698"/>
    <w:rsid w:val="20E5748D"/>
    <w:rsid w:val="21670E5F"/>
    <w:rsid w:val="23C3549E"/>
    <w:rsid w:val="24122895"/>
    <w:rsid w:val="242D640D"/>
    <w:rsid w:val="2528084F"/>
    <w:rsid w:val="265D5213"/>
    <w:rsid w:val="26733AE2"/>
    <w:rsid w:val="27394FC4"/>
    <w:rsid w:val="27EE103F"/>
    <w:rsid w:val="27F73BDC"/>
    <w:rsid w:val="281B209C"/>
    <w:rsid w:val="2861260A"/>
    <w:rsid w:val="28F411C4"/>
    <w:rsid w:val="299E18C1"/>
    <w:rsid w:val="29AB1C5B"/>
    <w:rsid w:val="2AA56231"/>
    <w:rsid w:val="2B1826C5"/>
    <w:rsid w:val="2D55322F"/>
    <w:rsid w:val="2FAF57E1"/>
    <w:rsid w:val="2FD00779"/>
    <w:rsid w:val="30565EB8"/>
    <w:rsid w:val="30F028F5"/>
    <w:rsid w:val="31414AC9"/>
    <w:rsid w:val="31960BEF"/>
    <w:rsid w:val="35F95C88"/>
    <w:rsid w:val="36FC3546"/>
    <w:rsid w:val="37582D93"/>
    <w:rsid w:val="37BA6D0C"/>
    <w:rsid w:val="37C76B29"/>
    <w:rsid w:val="37E75DA6"/>
    <w:rsid w:val="381828D7"/>
    <w:rsid w:val="3A4E5FB0"/>
    <w:rsid w:val="3C015AAE"/>
    <w:rsid w:val="3D3424ED"/>
    <w:rsid w:val="3E4B1C81"/>
    <w:rsid w:val="3E6C4365"/>
    <w:rsid w:val="3E706A12"/>
    <w:rsid w:val="3F201B78"/>
    <w:rsid w:val="3F516F33"/>
    <w:rsid w:val="3F910EAE"/>
    <w:rsid w:val="3FCB523F"/>
    <w:rsid w:val="40C07504"/>
    <w:rsid w:val="40F36953"/>
    <w:rsid w:val="426F4B9D"/>
    <w:rsid w:val="427B5466"/>
    <w:rsid w:val="42C91EB0"/>
    <w:rsid w:val="449935CA"/>
    <w:rsid w:val="44D722D8"/>
    <w:rsid w:val="450A445C"/>
    <w:rsid w:val="450E63F0"/>
    <w:rsid w:val="458D3F5F"/>
    <w:rsid w:val="45BE27F3"/>
    <w:rsid w:val="46D630FB"/>
    <w:rsid w:val="47480E22"/>
    <w:rsid w:val="479A532F"/>
    <w:rsid w:val="48250B45"/>
    <w:rsid w:val="48883E60"/>
    <w:rsid w:val="48A36278"/>
    <w:rsid w:val="490E4540"/>
    <w:rsid w:val="49D22B50"/>
    <w:rsid w:val="4ABC245E"/>
    <w:rsid w:val="4ABC5B22"/>
    <w:rsid w:val="4B0A38B6"/>
    <w:rsid w:val="4C331212"/>
    <w:rsid w:val="4C3766E3"/>
    <w:rsid w:val="4C8D2F4E"/>
    <w:rsid w:val="4DD5096C"/>
    <w:rsid w:val="4E2F743D"/>
    <w:rsid w:val="4F250FBE"/>
    <w:rsid w:val="51FB0E5B"/>
    <w:rsid w:val="53E875B0"/>
    <w:rsid w:val="54E07190"/>
    <w:rsid w:val="54F65D7A"/>
    <w:rsid w:val="55F21FBB"/>
    <w:rsid w:val="560814B6"/>
    <w:rsid w:val="56583FAF"/>
    <w:rsid w:val="56E52139"/>
    <w:rsid w:val="574D23EC"/>
    <w:rsid w:val="579A66F0"/>
    <w:rsid w:val="57B0740F"/>
    <w:rsid w:val="58904AE2"/>
    <w:rsid w:val="59954395"/>
    <w:rsid w:val="5A420FFE"/>
    <w:rsid w:val="5B7A5FBA"/>
    <w:rsid w:val="5BC261BC"/>
    <w:rsid w:val="5CC87FDE"/>
    <w:rsid w:val="5CDB26D0"/>
    <w:rsid w:val="5CFE7435"/>
    <w:rsid w:val="5D697ED1"/>
    <w:rsid w:val="5DDD3640"/>
    <w:rsid w:val="5E45691B"/>
    <w:rsid w:val="5E946D5F"/>
    <w:rsid w:val="5EBE433C"/>
    <w:rsid w:val="5F817430"/>
    <w:rsid w:val="60231387"/>
    <w:rsid w:val="607559FF"/>
    <w:rsid w:val="60D822F2"/>
    <w:rsid w:val="61302009"/>
    <w:rsid w:val="61737693"/>
    <w:rsid w:val="61FC1263"/>
    <w:rsid w:val="634B4AEC"/>
    <w:rsid w:val="63862F37"/>
    <w:rsid w:val="63CF222D"/>
    <w:rsid w:val="642B3040"/>
    <w:rsid w:val="65233D01"/>
    <w:rsid w:val="65CB624B"/>
    <w:rsid w:val="67585BBE"/>
    <w:rsid w:val="67AD0987"/>
    <w:rsid w:val="680C74BC"/>
    <w:rsid w:val="6903426B"/>
    <w:rsid w:val="69655551"/>
    <w:rsid w:val="69F06168"/>
    <w:rsid w:val="6BC17A71"/>
    <w:rsid w:val="6BD514DB"/>
    <w:rsid w:val="6BF74465"/>
    <w:rsid w:val="6D227264"/>
    <w:rsid w:val="6DE549FB"/>
    <w:rsid w:val="6E632592"/>
    <w:rsid w:val="6E8D538A"/>
    <w:rsid w:val="6F25510A"/>
    <w:rsid w:val="70AF133A"/>
    <w:rsid w:val="71BD5F9A"/>
    <w:rsid w:val="72815804"/>
    <w:rsid w:val="737F21F5"/>
    <w:rsid w:val="73F9265E"/>
    <w:rsid w:val="740F060E"/>
    <w:rsid w:val="760E2B4A"/>
    <w:rsid w:val="7618069F"/>
    <w:rsid w:val="765D635A"/>
    <w:rsid w:val="76720866"/>
    <w:rsid w:val="772C0685"/>
    <w:rsid w:val="77DD5164"/>
    <w:rsid w:val="781B4244"/>
    <w:rsid w:val="799C5EF6"/>
    <w:rsid w:val="7A084FB0"/>
    <w:rsid w:val="7A5E337B"/>
    <w:rsid w:val="7AED098B"/>
    <w:rsid w:val="7BDF385B"/>
    <w:rsid w:val="7C407499"/>
    <w:rsid w:val="7C420E94"/>
    <w:rsid w:val="7C8C059D"/>
    <w:rsid w:val="7C966F7F"/>
    <w:rsid w:val="7DC550BB"/>
    <w:rsid w:val="7EAE5740"/>
    <w:rsid w:val="7EB62174"/>
    <w:rsid w:val="7EF6703D"/>
    <w:rsid w:val="7F4B24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0DE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90DEC"/>
    <w:pPr>
      <w:tabs>
        <w:tab w:val="center" w:pos="4153"/>
        <w:tab w:val="right" w:pos="8306"/>
      </w:tabs>
      <w:snapToGrid w:val="0"/>
      <w:spacing w:line="240" w:lineRule="atLeast"/>
      <w:jc w:val="left"/>
    </w:pPr>
    <w:rPr>
      <w:sz w:val="18"/>
      <w:szCs w:val="18"/>
    </w:rPr>
  </w:style>
  <w:style w:type="paragraph" w:styleId="a4">
    <w:name w:val="header"/>
    <w:basedOn w:val="a"/>
    <w:qFormat/>
    <w:rsid w:val="00A90DEC"/>
    <w:pPr>
      <w:pBdr>
        <w:bottom w:val="single" w:sz="6" w:space="1" w:color="auto"/>
      </w:pBdr>
      <w:tabs>
        <w:tab w:val="center" w:pos="4153"/>
        <w:tab w:val="right" w:pos="8306"/>
      </w:tabs>
      <w:snapToGrid w:val="0"/>
      <w:spacing w:line="240" w:lineRule="atLeast"/>
      <w:jc w:val="center"/>
    </w:pPr>
    <w:rPr>
      <w:sz w:val="18"/>
      <w:szCs w:val="18"/>
    </w:rPr>
  </w:style>
  <w:style w:type="paragraph" w:styleId="a5">
    <w:name w:val="Normal (Web)"/>
    <w:basedOn w:val="a"/>
    <w:qFormat/>
    <w:rsid w:val="00A90DEC"/>
    <w:pPr>
      <w:jc w:val="left"/>
    </w:pPr>
    <w:rPr>
      <w:rFonts w:cs="Times New Roman"/>
      <w:kern w:val="0"/>
      <w:sz w:val="24"/>
    </w:rPr>
  </w:style>
  <w:style w:type="table" w:styleId="a6">
    <w:name w:val="Table Grid"/>
    <w:basedOn w:val="a1"/>
    <w:qFormat/>
    <w:rsid w:val="00A90DE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qFormat/>
    <w:rsid w:val="00A90DEC"/>
    <w:rPr>
      <w:b/>
    </w:rPr>
  </w:style>
  <w:style w:type="character" w:styleId="a8">
    <w:name w:val="page number"/>
    <w:basedOn w:val="a0"/>
    <w:qFormat/>
    <w:rsid w:val="00A90DEC"/>
  </w:style>
  <w:style w:type="character" w:styleId="a9">
    <w:name w:val="FollowedHyperlink"/>
    <w:basedOn w:val="a0"/>
    <w:qFormat/>
    <w:rsid w:val="00A90DEC"/>
    <w:rPr>
      <w:color w:val="333333"/>
      <w:u w:val="none"/>
    </w:rPr>
  </w:style>
  <w:style w:type="character" w:styleId="aa">
    <w:name w:val="Emphasis"/>
    <w:basedOn w:val="a0"/>
    <w:qFormat/>
    <w:rsid w:val="00A90DEC"/>
  </w:style>
  <w:style w:type="character" w:styleId="ab">
    <w:name w:val="Hyperlink"/>
    <w:basedOn w:val="a0"/>
    <w:qFormat/>
    <w:rsid w:val="00A90DEC"/>
    <w:rPr>
      <w:color w:val="333333"/>
      <w:u w:val="none"/>
    </w:rPr>
  </w:style>
  <w:style w:type="character" w:customStyle="1" w:styleId="CharChar4">
    <w:name w:val="Char Char4"/>
    <w:basedOn w:val="a0"/>
    <w:qFormat/>
    <w:locked/>
    <w:rsid w:val="00A90DEC"/>
    <w:rPr>
      <w:rFonts w:eastAsia="楷体_GB2312"/>
      <w:b/>
      <w:bCs/>
      <w:kern w:val="2"/>
      <w:sz w:val="32"/>
      <w:szCs w:val="32"/>
      <w:lang w:val="en-US" w:eastAsia="zh-CN" w:bidi="ar-SA"/>
    </w:rPr>
  </w:style>
  <w:style w:type="character" w:customStyle="1" w:styleId="indexswitchsize2">
    <w:name w:val="index_switchsize2"/>
    <w:basedOn w:val="a0"/>
    <w:qFormat/>
    <w:rsid w:val="00A90DEC"/>
  </w:style>
  <w:style w:type="character" w:customStyle="1" w:styleId="current">
    <w:name w:val="current"/>
    <w:basedOn w:val="a0"/>
    <w:qFormat/>
    <w:rsid w:val="00A90DEC"/>
    <w:rPr>
      <w:b/>
      <w:bCs/>
      <w:color w:val="FFFFFF"/>
      <w:shd w:val="clear" w:color="auto" w:fill="D91616"/>
    </w:rPr>
  </w:style>
  <w:style w:type="character" w:customStyle="1" w:styleId="current1">
    <w:name w:val="current1"/>
    <w:basedOn w:val="a0"/>
    <w:qFormat/>
    <w:rsid w:val="00A90DEC"/>
    <w:rPr>
      <w:b/>
      <w:bCs/>
      <w:color w:val="FFFFFF"/>
      <w:shd w:val="clear" w:color="auto" w:fill="004887"/>
    </w:rPr>
  </w:style>
  <w:style w:type="character" w:customStyle="1" w:styleId="zt-current">
    <w:name w:val="zt-current"/>
    <w:basedOn w:val="a0"/>
    <w:qFormat/>
    <w:rsid w:val="00A90DEC"/>
    <w:rPr>
      <w:b/>
      <w:bCs/>
      <w:color w:val="FFFFFF"/>
      <w:bdr w:val="single" w:sz="6" w:space="0" w:color="D91616"/>
      <w:shd w:val="clear" w:color="auto" w:fill="D91616"/>
    </w:rPr>
  </w:style>
  <w:style w:type="character" w:customStyle="1" w:styleId="ccicon">
    <w:name w:val="cc_icon"/>
    <w:basedOn w:val="a0"/>
    <w:qFormat/>
    <w:rsid w:val="00A90DEC"/>
  </w:style>
  <w:style w:type="character" w:customStyle="1" w:styleId="ccicon1">
    <w:name w:val="cc_icon1"/>
    <w:basedOn w:val="a0"/>
    <w:qFormat/>
    <w:rsid w:val="00A90DEC"/>
  </w:style>
  <w:style w:type="character" w:customStyle="1" w:styleId="zt-disabled">
    <w:name w:val="zt-disabled"/>
    <w:basedOn w:val="a0"/>
    <w:qFormat/>
    <w:rsid w:val="00A90DEC"/>
    <w:rPr>
      <w:color w:val="EEEEEE"/>
      <w:bdr w:val="single" w:sz="6" w:space="0" w:color="EEEEEE"/>
    </w:rPr>
  </w:style>
  <w:style w:type="character" w:customStyle="1" w:styleId="font">
    <w:name w:val="font"/>
    <w:basedOn w:val="a0"/>
    <w:qFormat/>
    <w:rsid w:val="00A90DEC"/>
  </w:style>
  <w:style w:type="character" w:customStyle="1" w:styleId="share2">
    <w:name w:val="share2"/>
    <w:basedOn w:val="a0"/>
    <w:qFormat/>
    <w:rsid w:val="00A90DEC"/>
  </w:style>
  <w:style w:type="character" w:customStyle="1" w:styleId="current2">
    <w:name w:val="current2"/>
    <w:basedOn w:val="a0"/>
    <w:qFormat/>
    <w:rsid w:val="00A90DEC"/>
    <w:rPr>
      <w:b/>
      <w:bCs/>
      <w:color w:val="FFFFFF"/>
      <w:shd w:val="clear" w:color="auto" w:fill="D91616"/>
    </w:rPr>
  </w:style>
  <w:style w:type="character" w:customStyle="1" w:styleId="current3">
    <w:name w:val="current3"/>
    <w:basedOn w:val="a0"/>
    <w:qFormat/>
    <w:rsid w:val="00A90DEC"/>
    <w:rPr>
      <w:b/>
      <w:bCs/>
      <w:color w:val="FFFFFF"/>
      <w:shd w:val="clear" w:color="auto" w:fill="004887"/>
    </w:rPr>
  </w:style>
  <w:style w:type="character" w:customStyle="1" w:styleId="indexswitchsize">
    <w:name w:val="index_switchsize"/>
    <w:basedOn w:val="a0"/>
    <w:qFormat/>
    <w:rsid w:val="00A90DEC"/>
  </w:style>
  <w:style w:type="character" w:customStyle="1" w:styleId="share">
    <w:name w:val="share"/>
    <w:basedOn w:val="a0"/>
    <w:qFormat/>
    <w:rsid w:val="00A90DEC"/>
  </w:style>
  <w:style w:type="character" w:customStyle="1" w:styleId="fontstyle01">
    <w:name w:val="fontstyle01"/>
    <w:basedOn w:val="a0"/>
    <w:qFormat/>
    <w:rsid w:val="00A90DEC"/>
    <w:rPr>
      <w:rFonts w:ascii="仿宋_GB2312" w:eastAsia="仿宋_GB2312" w:hAnsi="仿宋_GB2312" w:cs="仿宋_GB2312"/>
      <w:color w:val="00000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12</Pages>
  <Words>816</Words>
  <Characters>4655</Characters>
  <Application>Microsoft Office Word</Application>
  <DocSecurity>0</DocSecurity>
  <Lines>38</Lines>
  <Paragraphs>10</Paragraphs>
  <ScaleCrop>false</ScaleCrop>
  <Company>Microsoft</Company>
  <LinksUpToDate>false</LinksUpToDate>
  <CharactersWithSpaces>5461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朱秀秀</dc:creator>
  <cp:lastModifiedBy>王勇</cp:lastModifiedBy>
  <cp:revision>4</cp:revision>
  <cp:lastPrinted>2021-05-13T02:38:00Z</cp:lastPrinted>
  <dcterms:created xsi:type="dcterms:W3CDTF">2021-05-12T02:47:00Z</dcterms:created>
  <dcterms:modified xsi:type="dcterms:W3CDTF">2021-05-19T02:50:00Z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709D910772C54F1283B9288181B8554B</vt:lpwstr>
  </property>
</Properties>
</file>