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auto"/>
        <w:spacing w:line="620" w:lineRule="exact"/>
        <w:ind w:firstLine="658"/>
        <w:rPr>
          <w:rFonts w:hint="default" w:ascii="Times New Roman" w:hAnsi="Times New Roman" w:eastAsia="宋体" w:cs="Times New Roman"/>
          <w:color w:val="auto"/>
          <w:sz w:val="32"/>
          <w:szCs w:val="32"/>
          <w:lang w:val="en-US" w:eastAsia="zh-CN"/>
        </w:rPr>
      </w:pPr>
    </w:p>
    <w:p>
      <w:pPr>
        <w:shd w:val="clear" w:color="auto" w:fill="auto"/>
        <w:spacing w:line="620" w:lineRule="exact"/>
        <w:ind w:firstLine="658"/>
        <w:rPr>
          <w:rFonts w:hint="default" w:ascii="Times New Roman" w:hAnsi="Times New Roman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658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</w:p>
    <w:p>
      <w:pPr>
        <w:shd w:val="clear" w:color="auto" w:fill="auto"/>
        <w:spacing w:line="640" w:lineRule="exact"/>
        <w:ind w:firstLine="658"/>
        <w:rPr>
          <w:rFonts w:hint="default" w:ascii="Times New Roman" w:hAnsi="Times New Roman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740" w:lineRule="exact"/>
        <w:ind w:firstLine="658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</w:p>
    <w:p>
      <w:pPr>
        <w:shd w:val="clear" w:color="auto" w:fill="auto"/>
        <w:adjustRightInd w:val="0"/>
        <w:snapToGrid w:val="0"/>
        <w:spacing w:line="620" w:lineRule="exact"/>
        <w:ind w:firstLine="658"/>
        <w:rPr>
          <w:rFonts w:hint="default" w:ascii="Times New Roman" w:hAnsi="Times New Roman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20" w:lineRule="exact"/>
        <w:ind w:right="0" w:rightChars="0"/>
        <w:jc w:val="center"/>
        <w:textAlignment w:val="auto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湘植保〔</w:t>
      </w:r>
      <w:r>
        <w:rPr>
          <w:rFonts w:ascii="Times New Roman" w:hAnsi="Times New Roman" w:eastAsia="仿宋_GB2312"/>
          <w:color w:val="auto"/>
          <w:sz w:val="32"/>
          <w:szCs w:val="32"/>
        </w:rPr>
        <w:t>20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21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〕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22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58"/>
        <w:textAlignment w:val="auto"/>
        <w:rPr>
          <w:rFonts w:hint="default" w:ascii="Times New Roman" w:hAnsi="Times New Roman" w:cs="Times New Roman"/>
          <w:color w:val="auto"/>
        </w:rPr>
      </w:pPr>
    </w:p>
    <w:p>
      <w:pPr>
        <w:shd w:val="clear" w:color="auto" w:fill="auto"/>
        <w:spacing w:line="400" w:lineRule="exact"/>
        <w:ind w:firstLine="658"/>
        <w:rPr>
          <w:rFonts w:hint="default" w:ascii="Times New Roman" w:hAnsi="Times New Roman" w:cs="Times New Roman"/>
          <w:color w:val="auto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right="0" w:rightChars="0"/>
        <w:jc w:val="center"/>
        <w:textAlignment w:val="auto"/>
        <w:rPr>
          <w:rFonts w:ascii="Times New Roman" w:hAnsi="Times New Roman" w:eastAsia="仿宋_GB2312"/>
          <w:color w:val="auto"/>
          <w:spacing w:val="0"/>
          <w:kern w:val="0"/>
          <w:sz w:val="30"/>
          <w:szCs w:val="30"/>
        </w:rPr>
      </w:pPr>
      <w:r>
        <w:rPr>
          <w:rFonts w:hint="eastAsia" w:ascii="Times New Roman" w:hAnsi="Times New Roman" w:eastAsia="方正小标宋简体"/>
          <w:b w:val="0"/>
          <w:color w:val="auto"/>
          <w:spacing w:val="0"/>
          <w:sz w:val="44"/>
        </w:rPr>
        <w:t>湖南省植保植检站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right="0" w:rightChars="0"/>
        <w:jc w:val="center"/>
        <w:textAlignment w:val="auto"/>
        <w:rPr>
          <w:rFonts w:hint="eastAsia" w:ascii="Times New Roman" w:hAnsi="Times New Roman" w:eastAsia="方正小标宋简体"/>
          <w:color w:val="auto"/>
          <w:spacing w:val="0"/>
          <w:kern w:val="44"/>
          <w:sz w:val="44"/>
          <w:szCs w:val="48"/>
        </w:rPr>
      </w:pPr>
      <w:r>
        <w:rPr>
          <w:rFonts w:hint="eastAsia" w:ascii="Times New Roman" w:hAnsi="Times New Roman" w:eastAsia="方正小标宋简体"/>
          <w:color w:val="auto"/>
          <w:spacing w:val="0"/>
          <w:kern w:val="44"/>
          <w:sz w:val="44"/>
          <w:szCs w:val="48"/>
        </w:rPr>
        <w:t>关于印发《湖南省柑</w:t>
      </w:r>
      <w:r>
        <w:rPr>
          <w:rFonts w:hint="eastAsia" w:ascii="Times New Roman" w:hAnsi="Times New Roman" w:eastAsia="方正小标宋简体"/>
          <w:color w:val="auto"/>
          <w:spacing w:val="0"/>
          <w:kern w:val="44"/>
          <w:sz w:val="44"/>
          <w:szCs w:val="48"/>
          <w:lang w:eastAsia="zh-CN"/>
        </w:rPr>
        <w:t>橘</w:t>
      </w:r>
      <w:r>
        <w:rPr>
          <w:rFonts w:hint="eastAsia" w:ascii="Times New Roman" w:hAnsi="Times New Roman" w:eastAsia="方正小标宋简体"/>
          <w:color w:val="auto"/>
          <w:spacing w:val="0"/>
          <w:kern w:val="44"/>
          <w:sz w:val="44"/>
          <w:szCs w:val="48"/>
        </w:rPr>
        <w:t>重大病虫害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right="0" w:rightChars="0"/>
        <w:jc w:val="center"/>
        <w:textAlignment w:val="auto"/>
        <w:rPr>
          <w:rFonts w:ascii="Times New Roman" w:hAnsi="Times New Roman" w:eastAsia="方正小标宋简体"/>
          <w:color w:val="auto"/>
          <w:spacing w:val="30"/>
          <w:kern w:val="44"/>
          <w:sz w:val="44"/>
          <w:szCs w:val="48"/>
        </w:rPr>
      </w:pPr>
      <w:r>
        <w:rPr>
          <w:rFonts w:hint="eastAsia" w:ascii="Times New Roman" w:hAnsi="Times New Roman" w:eastAsia="方正小标宋简体"/>
          <w:color w:val="auto"/>
          <w:spacing w:val="0"/>
          <w:kern w:val="44"/>
          <w:sz w:val="44"/>
          <w:szCs w:val="48"/>
          <w:lang w:val="en-US" w:eastAsia="zh-CN"/>
        </w:rPr>
        <w:t>绿色</w:t>
      </w:r>
      <w:bookmarkStart w:id="0" w:name="_GoBack"/>
      <w:bookmarkEnd w:id="0"/>
      <w:r>
        <w:rPr>
          <w:rFonts w:hint="eastAsia" w:ascii="Times New Roman" w:hAnsi="Times New Roman" w:eastAsia="方正小标宋简体"/>
          <w:color w:val="auto"/>
          <w:spacing w:val="0"/>
          <w:kern w:val="44"/>
          <w:sz w:val="44"/>
          <w:szCs w:val="48"/>
        </w:rPr>
        <w:t>防控技术方案》的通知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right="0" w:rightChars="0" w:firstLine="3000" w:firstLineChars="1000"/>
        <w:jc w:val="left"/>
        <w:textAlignment w:val="auto"/>
        <w:rPr>
          <w:rFonts w:ascii="Times New Roman" w:hAnsi="Times New Roman" w:eastAsia="仿宋_GB2312"/>
          <w:color w:val="auto"/>
          <w:kern w:val="0"/>
          <w:sz w:val="30"/>
          <w:szCs w:val="30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 w:rightChars="0"/>
        <w:textAlignment w:val="auto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  <w:t>各市州植保植检站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  <w:lang w:val="en-US" w:eastAsia="zh-CN"/>
        </w:rPr>
        <w:t>机构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  <w:t>：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 w:rightChars="0" w:firstLine="640"/>
        <w:jc w:val="left"/>
        <w:textAlignment w:val="auto"/>
        <w:rPr>
          <w:rFonts w:ascii="Times New Roman" w:hAnsi="Times New Roman" w:eastAsia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  <w:t>为抓好全省柑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  <w:lang w:eastAsia="zh-CN"/>
        </w:rPr>
        <w:t>橘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  <w:t>重大病虫害防控工作，确保产业安全，推进农业绿色发展，我站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  <w:lang w:val="en-US" w:eastAsia="zh-CN"/>
        </w:rPr>
        <w:t>制定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  <w:t>了《湖南省柑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  <w:lang w:eastAsia="zh-CN"/>
        </w:rPr>
        <w:t>橘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  <w:t>重大病虫害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  <w:lang w:val="en-US" w:eastAsia="zh-CN"/>
        </w:rPr>
        <w:t>绿色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  <w:t>防控技术方案》，现予印发。请各地结合实际，认真组织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  <w:lang w:val="en-US" w:eastAsia="zh-CN"/>
        </w:rPr>
        <w:t>实施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  <w:t>。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61" w:beforeLines="50" w:beforeAutospacing="0" w:afterAutospacing="0" w:line="600" w:lineRule="exact"/>
        <w:ind w:right="0" w:rightChars="0" w:firstLine="641"/>
        <w:jc w:val="left"/>
        <w:textAlignment w:val="auto"/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  <w:lang w:val="en-US" w:eastAsia="zh-CN"/>
        </w:rPr>
        <w:t>附件：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  <w:t>湖南省柑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  <w:lang w:eastAsia="zh-CN"/>
        </w:rPr>
        <w:t>橘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  <w:t>重大病虫害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  <w:lang w:val="en-US" w:eastAsia="zh-CN"/>
        </w:rPr>
        <w:t>绿色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  <w:t>防控技术方案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 w:rightChars="0" w:firstLine="640"/>
        <w:jc w:val="left"/>
        <w:textAlignment w:val="auto"/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 w:rightChars="0" w:firstLine="640"/>
        <w:jc w:val="left"/>
        <w:textAlignment w:val="auto"/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  <w:lang w:val="en-US" w:eastAsia="zh-CN"/>
        </w:rPr>
        <w:t xml:space="preserve">                            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  <w:t>湖南省植保植检站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 w:rightChars="0" w:firstLine="640"/>
        <w:jc w:val="left"/>
        <w:textAlignment w:val="auto"/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  <w:lang w:val="en-US" w:eastAsia="zh-CN"/>
        </w:rPr>
        <w:t xml:space="preserve">                            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  <w:t>20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  <w:lang w:val="en-US" w:eastAsia="zh-CN"/>
        </w:rPr>
        <w:t>21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  <w:t>年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  <w:lang w:val="en-US" w:eastAsia="zh-CN"/>
        </w:rPr>
        <w:t>10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  <w:t>月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  <w:lang w:val="en-US" w:eastAsia="zh-CN"/>
        </w:rPr>
        <w:t>28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FFFFFF"/>
        </w:rPr>
        <w:t>日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600" w:lineRule="exact"/>
        <w:ind w:right="0" w:rightChars="0" w:firstLine="640"/>
        <w:textAlignment w:val="auto"/>
        <w:rPr>
          <w:rFonts w:ascii="Times New Roman" w:hAnsi="Times New Roman" w:eastAsia="仿宋_GB2312"/>
          <w:color w:val="auto"/>
          <w:sz w:val="32"/>
          <w:szCs w:val="32"/>
          <w:shd w:val="clear" w:color="auto" w:fill="FFFFFF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600" w:lineRule="exact"/>
        <w:ind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11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11"/>
          <w:sz w:val="44"/>
          <w:szCs w:val="44"/>
        </w:rPr>
        <w:t>湖南省柑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11"/>
          <w:sz w:val="44"/>
          <w:szCs w:val="44"/>
          <w:lang w:eastAsia="zh-CN"/>
        </w:rPr>
        <w:t>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11"/>
          <w:sz w:val="44"/>
          <w:szCs w:val="44"/>
        </w:rPr>
        <w:t>重大病虫害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11"/>
          <w:sz w:val="44"/>
          <w:szCs w:val="44"/>
          <w:lang w:val="en-US" w:eastAsia="zh-CN"/>
        </w:rPr>
        <w:t>绿色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11"/>
          <w:sz w:val="44"/>
          <w:szCs w:val="44"/>
        </w:rPr>
        <w:t>防控技术方案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right="0" w:rightChars="0" w:firstLine="640" w:firstLineChars="200"/>
        <w:jc w:val="left"/>
        <w:textAlignment w:val="auto"/>
        <w:rPr>
          <w:rFonts w:ascii="Times New Roman" w:hAnsi="Times New Roman" w:eastAsia="仿宋_GB2312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right="0" w:rightChars="0" w:firstLine="640" w:firstLineChars="200"/>
        <w:jc w:val="left"/>
        <w:textAlignment w:val="auto"/>
        <w:rPr>
          <w:rFonts w:ascii="Times New Roman" w:hAnsi="Times New Roman" w:eastAsia="仿宋_GB2312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为有效控制柑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橘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病虫为害，降低农药使用量，减少农药残留，保障柑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橘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产业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安全、质量安全和农业生态环境安全，促进我省柑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橘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生产可持续发展，特制定本方案。本方案根据情况变化需要适时修订。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right="0" w:rightChars="0" w:firstLine="624" w:firstLineChars="195"/>
        <w:jc w:val="left"/>
        <w:textAlignment w:val="auto"/>
        <w:rPr>
          <w:rFonts w:ascii="Times New Roman" w:hAnsi="Times New Roman" w:eastAsia="黑体"/>
          <w:bCs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黑体"/>
          <w:bCs/>
          <w:color w:val="auto"/>
          <w:kern w:val="0"/>
          <w:sz w:val="32"/>
          <w:szCs w:val="32"/>
        </w:rPr>
        <w:t>一、防控对象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right="0" w:rightChars="0" w:firstLine="624" w:firstLineChars="195"/>
        <w:jc w:val="left"/>
        <w:textAlignment w:val="auto"/>
        <w:rPr>
          <w:rFonts w:ascii="Times New Roman" w:hAnsi="Times New Roman" w:eastAsia="黑体"/>
          <w:b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柑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橘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砂皮病（树脂病）、溃疡病、炭疽病、疮痂病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柑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橘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大实蝇、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橘小实蝇、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红蜘蛛、锈壁虱、潜叶蛾、矢尖蚧、粉虱等。柑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橘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黄龙病单独制定防控方案。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right="0" w:rightChars="0" w:firstLine="624" w:firstLineChars="195"/>
        <w:jc w:val="left"/>
        <w:textAlignment w:val="auto"/>
        <w:rPr>
          <w:rFonts w:ascii="Times New Roman" w:hAnsi="Times New Roman" w:eastAsia="黑体"/>
          <w:bCs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黑体"/>
          <w:bCs/>
          <w:color w:val="auto"/>
          <w:kern w:val="0"/>
          <w:sz w:val="32"/>
          <w:szCs w:val="32"/>
        </w:rPr>
        <w:t>二、防控策略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right="0" w:rightChars="0" w:firstLine="624" w:firstLineChars="195"/>
        <w:jc w:val="left"/>
        <w:textAlignment w:val="auto"/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贯彻“预防为主、综合防治”植保方针，践行“公共植保、绿色植保、科学植保”理念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大力推广绿色防控技术，减少农药使用量。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24" w:firstLineChars="195"/>
        <w:jc w:val="left"/>
        <w:textAlignment w:val="auto"/>
        <w:outlineLvl w:val="9"/>
        <w:rPr>
          <w:rFonts w:ascii="Times New Roman" w:hAnsi="Times New Roman" w:eastAsia="黑体"/>
          <w:bCs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黑体"/>
          <w:bCs/>
          <w:color w:val="auto"/>
          <w:kern w:val="0"/>
          <w:sz w:val="32"/>
          <w:szCs w:val="32"/>
        </w:rPr>
        <w:t>三、重大病虫</w:t>
      </w:r>
      <w:r>
        <w:rPr>
          <w:rFonts w:hint="eastAsia" w:ascii="Times New Roman" w:hAnsi="Times New Roman" w:eastAsia="黑体"/>
          <w:bCs/>
          <w:color w:val="auto"/>
          <w:kern w:val="0"/>
          <w:sz w:val="32"/>
          <w:szCs w:val="32"/>
          <w:lang w:val="en-US" w:eastAsia="zh-CN"/>
        </w:rPr>
        <w:t>害绿色</w:t>
      </w:r>
      <w:r>
        <w:rPr>
          <w:rFonts w:hint="eastAsia" w:ascii="Times New Roman" w:hAnsi="Times New Roman" w:eastAsia="黑体"/>
          <w:bCs/>
          <w:color w:val="auto"/>
          <w:kern w:val="0"/>
          <w:sz w:val="32"/>
          <w:szCs w:val="32"/>
        </w:rPr>
        <w:t>防控技术措施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right="0" w:rightChars="0" w:firstLine="624" w:firstLineChars="195"/>
        <w:jc w:val="left"/>
        <w:textAlignment w:val="auto"/>
        <w:rPr>
          <w:rFonts w:hint="eastAsia" w:ascii="Times New Roman" w:hAnsi="Times New Roman" w:eastAsia="楷体_GB2312"/>
          <w:b/>
          <w:bCs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强化冬春季修剪、清园等农艺措施，加强健身栽培管理。提倡生草栽培，改善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橘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园生态环境，保护利用天敌。实蝇防控重点采用成虫诱杀和虫果处理两项关键技术，实行区域联防联控。加强监测预警，实现精准用药；优先应用生物农药、植物源农药和矿物源农药，科学使用高效、低毒、低残留化学农药，合理使用植物生长调节剂和农药助剂；注重农药品种轮换使用，严格按照农药使用操作规程用药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严格遵守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农药安全间隔期，确保柑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橘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质量安全；提倡多种病虫同时兼治，减少用药次数。大力推进专业化统防统治，推广应用先进高效施药机械。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43" w:firstLineChars="200"/>
        <w:jc w:val="left"/>
        <w:textAlignment w:val="auto"/>
        <w:outlineLvl w:val="9"/>
        <w:rPr>
          <w:rFonts w:ascii="Times New Roman" w:hAnsi="Times New Roman" w:eastAsia="楷体_GB2312"/>
          <w:b/>
          <w:bCs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楷体_GB2312"/>
          <w:b/>
          <w:bCs/>
          <w:color w:val="auto"/>
          <w:kern w:val="0"/>
          <w:sz w:val="32"/>
          <w:szCs w:val="32"/>
        </w:rPr>
        <w:t>（一）柑</w:t>
      </w:r>
      <w:r>
        <w:rPr>
          <w:rFonts w:hint="eastAsia" w:ascii="Times New Roman" w:hAnsi="Times New Roman" w:eastAsia="楷体_GB2312"/>
          <w:b/>
          <w:bCs/>
          <w:color w:val="auto"/>
          <w:kern w:val="0"/>
          <w:sz w:val="32"/>
          <w:szCs w:val="32"/>
          <w:lang w:eastAsia="zh-CN"/>
        </w:rPr>
        <w:t>橘</w:t>
      </w:r>
      <w:r>
        <w:rPr>
          <w:rFonts w:hint="eastAsia" w:ascii="Times New Roman" w:hAnsi="Times New Roman" w:eastAsia="楷体_GB2312"/>
          <w:b/>
          <w:bCs/>
          <w:color w:val="auto"/>
          <w:kern w:val="0"/>
          <w:sz w:val="32"/>
          <w:szCs w:val="32"/>
        </w:rPr>
        <w:t>砂皮病（树脂病）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43" w:firstLineChars="200"/>
        <w:jc w:val="left"/>
        <w:textAlignment w:val="auto"/>
        <w:outlineLvl w:val="9"/>
        <w:rPr>
          <w:rFonts w:ascii="Times New Roman" w:hAnsi="Times New Roman" w:eastAsia="仿宋_GB2312"/>
          <w:b/>
          <w:bCs/>
          <w:color w:val="auto"/>
          <w:sz w:val="32"/>
          <w:szCs w:val="32"/>
        </w:rPr>
      </w:pPr>
      <w:r>
        <w:rPr>
          <w:rFonts w:ascii="Times New Roman" w:hAnsi="Times New Roman" w:eastAsia="仿宋_GB2312"/>
          <w:b/>
          <w:bCs/>
          <w:color w:val="auto"/>
          <w:sz w:val="32"/>
          <w:szCs w:val="32"/>
        </w:rPr>
        <w:t>1</w:t>
      </w:r>
      <w:r>
        <w:rPr>
          <w:rFonts w:hint="eastAsia" w:ascii="Times New Roman" w:hAnsi="Times New Roman" w:eastAsia="仿宋_GB2312"/>
          <w:b/>
          <w:bCs/>
          <w:color w:val="auto"/>
          <w:sz w:val="32"/>
          <w:szCs w:val="32"/>
        </w:rPr>
        <w:t>、农业防治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40" w:firstLineChars="200"/>
        <w:jc w:val="left"/>
        <w:textAlignment w:val="auto"/>
        <w:outlineLvl w:val="9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（</w:t>
      </w:r>
      <w:r>
        <w:rPr>
          <w:rFonts w:ascii="Times New Roman" w:hAnsi="Times New Roman" w:eastAsia="仿宋_GB2312"/>
          <w:color w:val="auto"/>
          <w:sz w:val="32"/>
          <w:szCs w:val="32"/>
        </w:rPr>
        <w:t>1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）冬春清园。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剪除病虫枝，清除枯枝落叶，集中烧毁，减少病虫基数。主干和大枝涂白，冬季可降低树干的昼夜温差以减轻冻害，夏季可防日灼。开园时，喷施松脂酸钠、石硫合剂、矿物油等清园剂。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40" w:firstLineChars="200"/>
        <w:jc w:val="left"/>
        <w:textAlignment w:val="auto"/>
        <w:outlineLvl w:val="9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（</w:t>
      </w:r>
      <w:r>
        <w:rPr>
          <w:rFonts w:ascii="Times New Roman" w:hAnsi="Times New Roman" w:eastAsia="仿宋_GB2312"/>
          <w:color w:val="auto"/>
          <w:sz w:val="32"/>
          <w:szCs w:val="32"/>
        </w:rPr>
        <w:t>2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）合理修剪。一是冬春季修剪（结合清园进行）。标准：左右不拥挤、上下不重叠；上重下轻、小空大不空，方便采摘果实。二是疏花疏果，重点是花多的树疏花，无花树放梢。三是夏秋季抹芽控梢，促使抽梢整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40" w:firstLineChars="200"/>
        <w:jc w:val="left"/>
        <w:textAlignment w:val="auto"/>
        <w:outlineLvl w:val="9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（</w:t>
      </w:r>
      <w:r>
        <w:rPr>
          <w:rFonts w:ascii="Times New Roman" w:hAnsi="Times New Roman" w:eastAsia="仿宋_GB2312"/>
          <w:color w:val="auto"/>
          <w:sz w:val="32"/>
          <w:szCs w:val="32"/>
        </w:rPr>
        <w:t>3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）科学控草。提倡生草栽培，以机械割草控制杂草生长，尽量不施用除草剂，必须施用时不施用草甘膦。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40" w:firstLineChars="200"/>
        <w:jc w:val="left"/>
        <w:textAlignment w:val="auto"/>
        <w:outlineLvl w:val="9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（</w:t>
      </w:r>
      <w:r>
        <w:rPr>
          <w:rFonts w:ascii="Times New Roman" w:hAnsi="Times New Roman" w:eastAsia="仿宋_GB2312"/>
          <w:color w:val="auto"/>
          <w:sz w:val="32"/>
          <w:szCs w:val="32"/>
        </w:rPr>
        <w:t>4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）合理施肥。增施商品有机肥、枯饼肥、农家肥等，合理施用氮、磷、钾和中微量元素肥，增强树势，提高抗逆力。全年施肥量以产果</w:t>
      </w:r>
      <w:r>
        <w:rPr>
          <w:rFonts w:ascii="Times New Roman" w:hAnsi="Times New Roman" w:eastAsia="仿宋_GB2312"/>
          <w:color w:val="auto"/>
          <w:sz w:val="32"/>
          <w:szCs w:val="32"/>
        </w:rPr>
        <w:t>100kg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施纯氮</w:t>
      </w:r>
      <w:r>
        <w:rPr>
          <w:rFonts w:ascii="Times New Roman" w:hAnsi="Times New Roman" w:eastAsia="仿宋_GB2312"/>
          <w:color w:val="auto"/>
          <w:sz w:val="32"/>
          <w:szCs w:val="32"/>
        </w:rPr>
        <w:t>0.6kg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～</w:t>
      </w:r>
      <w:r>
        <w:rPr>
          <w:rFonts w:ascii="Times New Roman" w:hAnsi="Times New Roman" w:eastAsia="仿宋_GB2312"/>
          <w:color w:val="auto"/>
          <w:sz w:val="32"/>
          <w:szCs w:val="32"/>
        </w:rPr>
        <w:t>0.8kg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，氮、磷、钾比例为</w:t>
      </w:r>
      <w:r>
        <w:rPr>
          <w:rFonts w:ascii="Times New Roman" w:hAnsi="Times New Roman" w:eastAsia="仿宋_GB2312"/>
          <w:color w:val="auto"/>
          <w:sz w:val="32"/>
          <w:szCs w:val="32"/>
        </w:rPr>
        <w:t>1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：</w:t>
      </w:r>
      <w:r>
        <w:rPr>
          <w:rFonts w:ascii="Times New Roman" w:hAnsi="Times New Roman" w:eastAsia="仿宋_GB2312"/>
          <w:color w:val="auto"/>
          <w:sz w:val="32"/>
          <w:szCs w:val="32"/>
        </w:rPr>
        <w:t>0.2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：</w:t>
      </w:r>
      <w:r>
        <w:rPr>
          <w:rFonts w:ascii="Times New Roman" w:hAnsi="Times New Roman" w:eastAsia="仿宋_GB2312"/>
          <w:color w:val="auto"/>
          <w:sz w:val="32"/>
          <w:szCs w:val="32"/>
        </w:rPr>
        <w:t>0.7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43" w:firstLineChars="200"/>
        <w:jc w:val="left"/>
        <w:textAlignment w:val="auto"/>
        <w:outlineLvl w:val="9"/>
        <w:rPr>
          <w:rFonts w:ascii="Times New Roman" w:hAnsi="Times New Roman" w:eastAsia="仿宋_GB2312"/>
          <w:b/>
          <w:bCs/>
          <w:color w:val="auto"/>
          <w:sz w:val="32"/>
          <w:szCs w:val="32"/>
        </w:rPr>
      </w:pPr>
      <w:r>
        <w:rPr>
          <w:rFonts w:ascii="Times New Roman" w:hAnsi="Times New Roman" w:eastAsia="仿宋_GB2312"/>
          <w:b/>
          <w:bCs/>
          <w:color w:val="auto"/>
          <w:sz w:val="32"/>
          <w:szCs w:val="32"/>
        </w:rPr>
        <w:t>2</w:t>
      </w:r>
      <w:r>
        <w:rPr>
          <w:rFonts w:hint="eastAsia" w:ascii="Times New Roman" w:hAnsi="Times New Roman" w:eastAsia="仿宋_GB2312"/>
          <w:b/>
          <w:bCs/>
          <w:color w:val="auto"/>
          <w:sz w:val="32"/>
          <w:szCs w:val="32"/>
        </w:rPr>
        <w:t>、化学防治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40" w:firstLineChars="200"/>
        <w:jc w:val="left"/>
        <w:textAlignment w:val="auto"/>
        <w:outlineLvl w:val="9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谢花三分之二、第一次生理落果期（果实蚕豆大小）、第二次生理落果期（</w:t>
      </w:r>
      <w:r>
        <w:rPr>
          <w:rFonts w:ascii="Times New Roman" w:hAnsi="Times New Roman" w:eastAsia="仿宋_GB2312"/>
          <w:color w:val="auto"/>
          <w:sz w:val="32"/>
          <w:szCs w:val="32"/>
        </w:rPr>
        <w:t>6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月中下旬）、</w:t>
      </w:r>
      <w:r>
        <w:rPr>
          <w:rFonts w:ascii="Times New Roman" w:hAnsi="Times New Roman" w:eastAsia="仿宋_GB2312"/>
          <w:color w:val="auto"/>
          <w:sz w:val="32"/>
          <w:szCs w:val="32"/>
        </w:rPr>
        <w:t>7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月上中旬分别施药防治。</w:t>
      </w:r>
      <w:r>
        <w:rPr>
          <w:rFonts w:ascii="Times New Roman" w:hAnsi="Times New Roman" w:eastAsia="仿宋_GB2312"/>
          <w:color w:val="auto"/>
          <w:sz w:val="32"/>
          <w:szCs w:val="32"/>
        </w:rPr>
        <w:t>9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月中下旬如遇雨水多时再施药一次。可选代森锰锌、吡唑醚菌酯、氟硅唑、克菌丹、氟菌·戊唑醇、氟啶胺、咪鲜胺等药剂。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43" w:firstLineChars="200"/>
        <w:jc w:val="left"/>
        <w:textAlignment w:val="auto"/>
        <w:outlineLvl w:val="9"/>
        <w:rPr>
          <w:rFonts w:ascii="Times New Roman" w:hAnsi="Times New Roman" w:eastAsia="楷体_GB2312"/>
          <w:b/>
          <w:bCs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楷体_GB2312"/>
          <w:b/>
          <w:bCs/>
          <w:color w:val="auto"/>
          <w:kern w:val="0"/>
          <w:sz w:val="32"/>
          <w:szCs w:val="32"/>
        </w:rPr>
        <w:t>（二）柑</w:t>
      </w:r>
      <w:r>
        <w:rPr>
          <w:rFonts w:hint="eastAsia" w:ascii="Times New Roman" w:hAnsi="Times New Roman" w:eastAsia="楷体_GB2312"/>
          <w:b/>
          <w:bCs/>
          <w:color w:val="auto"/>
          <w:kern w:val="0"/>
          <w:sz w:val="32"/>
          <w:szCs w:val="32"/>
          <w:lang w:eastAsia="zh-CN"/>
        </w:rPr>
        <w:t>橘</w:t>
      </w:r>
      <w:r>
        <w:rPr>
          <w:rFonts w:hint="eastAsia" w:ascii="Times New Roman" w:hAnsi="Times New Roman" w:eastAsia="楷体_GB2312"/>
          <w:b/>
          <w:bCs/>
          <w:color w:val="auto"/>
          <w:kern w:val="0"/>
          <w:sz w:val="32"/>
          <w:szCs w:val="32"/>
        </w:rPr>
        <w:t>溃疡病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43" w:firstLineChars="200"/>
        <w:jc w:val="left"/>
        <w:textAlignment w:val="auto"/>
        <w:outlineLvl w:val="9"/>
        <w:rPr>
          <w:rFonts w:ascii="Times New Roman" w:hAnsi="Times New Roman" w:eastAsia="仿宋_GB2312"/>
          <w:b/>
          <w:bCs/>
          <w:color w:val="auto"/>
          <w:sz w:val="32"/>
          <w:szCs w:val="32"/>
        </w:rPr>
      </w:pPr>
      <w:r>
        <w:rPr>
          <w:rFonts w:ascii="Times New Roman" w:hAnsi="Times New Roman" w:eastAsia="仿宋_GB2312"/>
          <w:b/>
          <w:bCs/>
          <w:color w:val="auto"/>
          <w:sz w:val="32"/>
          <w:szCs w:val="32"/>
        </w:rPr>
        <w:t>1</w:t>
      </w:r>
      <w:r>
        <w:rPr>
          <w:rFonts w:hint="eastAsia" w:ascii="Times New Roman" w:hAnsi="Times New Roman" w:eastAsia="仿宋_GB2312"/>
          <w:b/>
          <w:bCs/>
          <w:color w:val="auto"/>
          <w:sz w:val="32"/>
          <w:szCs w:val="32"/>
        </w:rPr>
        <w:t>、农业防治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选用抗性品种，建立无病苗圃，培育无病苗木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其他参照柑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橘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砂皮病。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修剪应遵循“先健株后病株”的原则，嫁接刀、枝剪等修剪工具应用酒精、次氯酸钠等消毒。避免在雨天、霜露未干时进行修剪、抹梢、摘叶、采果等工作。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43" w:firstLineChars="200"/>
        <w:jc w:val="left"/>
        <w:textAlignment w:val="auto"/>
        <w:outlineLvl w:val="9"/>
        <w:rPr>
          <w:rFonts w:hint="eastAsia" w:ascii="Times New Roman" w:hAnsi="Times New Roman" w:eastAsia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b/>
          <w:bCs/>
          <w:color w:val="auto"/>
          <w:sz w:val="32"/>
          <w:szCs w:val="32"/>
          <w:lang w:val="en-US" w:eastAsia="zh-CN"/>
        </w:rPr>
        <w:t>2、化学防治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40" w:firstLineChars="200"/>
        <w:jc w:val="left"/>
        <w:textAlignment w:val="auto"/>
        <w:outlineLvl w:val="9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重点保护幼果和夏秋梢。一般在谢花三分之二、第一次生理落果期（果实蚕豆大小）、夏秋梢长</w:t>
      </w:r>
      <w:r>
        <w:rPr>
          <w:rFonts w:ascii="Times New Roman" w:hAnsi="Times New Roman" w:eastAsia="仿宋_GB2312"/>
          <w:color w:val="auto"/>
          <w:sz w:val="32"/>
          <w:szCs w:val="32"/>
        </w:rPr>
        <w:t>0.5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～</w:t>
      </w:r>
      <w:r>
        <w:rPr>
          <w:rFonts w:ascii="Times New Roman" w:hAnsi="Times New Roman" w:eastAsia="仿宋_GB2312"/>
          <w:color w:val="auto"/>
          <w:sz w:val="32"/>
          <w:szCs w:val="32"/>
        </w:rPr>
        <w:t>1cm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时及时用药。可选春雷霉素、松脂酸铜、氢氧化铜、春雷·王铜、硫酸铜钙、噻唑锌、噻菌铜、中生·乙酸铜等药剂。夏秋梢防治时，注意防治好柑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橘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潜叶蛾等害虫。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43" w:firstLineChars="200"/>
        <w:jc w:val="left"/>
        <w:textAlignment w:val="auto"/>
        <w:outlineLvl w:val="9"/>
        <w:rPr>
          <w:rFonts w:ascii="Times New Roman" w:hAnsi="Times New Roman" w:eastAsia="楷体_GB2312"/>
          <w:b/>
          <w:bCs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楷体_GB2312"/>
          <w:b/>
          <w:bCs/>
          <w:color w:val="auto"/>
          <w:kern w:val="0"/>
          <w:sz w:val="32"/>
          <w:szCs w:val="32"/>
        </w:rPr>
        <w:t>（三）柑</w:t>
      </w:r>
      <w:r>
        <w:rPr>
          <w:rFonts w:hint="eastAsia" w:ascii="Times New Roman" w:hAnsi="Times New Roman" w:eastAsia="楷体_GB2312"/>
          <w:b/>
          <w:bCs/>
          <w:color w:val="auto"/>
          <w:kern w:val="0"/>
          <w:sz w:val="32"/>
          <w:szCs w:val="32"/>
          <w:lang w:eastAsia="zh-CN"/>
        </w:rPr>
        <w:t>橘</w:t>
      </w:r>
      <w:r>
        <w:rPr>
          <w:rFonts w:hint="eastAsia" w:ascii="Times New Roman" w:hAnsi="Times New Roman" w:eastAsia="楷体_GB2312"/>
          <w:b/>
          <w:bCs/>
          <w:color w:val="auto"/>
          <w:kern w:val="0"/>
          <w:sz w:val="32"/>
          <w:szCs w:val="32"/>
        </w:rPr>
        <w:t>炭疽病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43" w:firstLineChars="200"/>
        <w:jc w:val="left"/>
        <w:textAlignment w:val="auto"/>
        <w:outlineLvl w:val="9"/>
        <w:rPr>
          <w:rFonts w:ascii="Times New Roman" w:hAnsi="Times New Roman" w:eastAsia="仿宋_GB2312"/>
          <w:b/>
          <w:bCs/>
          <w:color w:val="auto"/>
          <w:sz w:val="32"/>
          <w:szCs w:val="32"/>
        </w:rPr>
      </w:pPr>
      <w:r>
        <w:rPr>
          <w:rFonts w:ascii="Times New Roman" w:hAnsi="Times New Roman" w:eastAsia="仿宋_GB2312"/>
          <w:b/>
          <w:bCs/>
          <w:color w:val="auto"/>
          <w:sz w:val="32"/>
          <w:szCs w:val="32"/>
        </w:rPr>
        <w:t>1</w:t>
      </w:r>
      <w:r>
        <w:rPr>
          <w:rFonts w:hint="eastAsia" w:ascii="Times New Roman" w:hAnsi="Times New Roman" w:eastAsia="仿宋_GB2312"/>
          <w:b/>
          <w:bCs/>
          <w:color w:val="auto"/>
          <w:sz w:val="32"/>
          <w:szCs w:val="32"/>
        </w:rPr>
        <w:t>、农业防治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40" w:firstLineChars="200"/>
        <w:jc w:val="left"/>
        <w:textAlignment w:val="auto"/>
        <w:outlineLvl w:val="9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参照柑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橘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砂皮病。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43" w:firstLineChars="200"/>
        <w:jc w:val="left"/>
        <w:textAlignment w:val="auto"/>
        <w:outlineLvl w:val="9"/>
        <w:rPr>
          <w:rFonts w:ascii="Times New Roman" w:hAnsi="Times New Roman" w:eastAsia="仿宋_GB2312"/>
          <w:b/>
          <w:bCs/>
          <w:color w:val="auto"/>
          <w:sz w:val="32"/>
          <w:szCs w:val="32"/>
        </w:rPr>
      </w:pPr>
      <w:r>
        <w:rPr>
          <w:rFonts w:ascii="Times New Roman" w:hAnsi="Times New Roman" w:eastAsia="仿宋_GB2312"/>
          <w:b/>
          <w:bCs/>
          <w:color w:val="auto"/>
          <w:sz w:val="32"/>
          <w:szCs w:val="32"/>
        </w:rPr>
        <w:t>2</w:t>
      </w:r>
      <w:r>
        <w:rPr>
          <w:rFonts w:hint="eastAsia" w:ascii="Times New Roman" w:hAnsi="Times New Roman" w:eastAsia="仿宋_GB2312"/>
          <w:b/>
          <w:bCs/>
          <w:color w:val="auto"/>
          <w:sz w:val="32"/>
          <w:szCs w:val="32"/>
        </w:rPr>
        <w:t>、化学防治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40" w:firstLineChars="200"/>
        <w:jc w:val="left"/>
        <w:textAlignment w:val="auto"/>
        <w:outlineLvl w:val="9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一般春梢期和幼果期（果实蚕豆大小）各施药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一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次，</w:t>
      </w:r>
      <w:r>
        <w:rPr>
          <w:rFonts w:ascii="Times New Roman" w:hAnsi="Times New Roman" w:eastAsia="仿宋_GB2312"/>
          <w:color w:val="auto"/>
          <w:sz w:val="32"/>
          <w:szCs w:val="32"/>
        </w:rPr>
        <w:t>7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、</w:t>
      </w:r>
      <w:r>
        <w:rPr>
          <w:rFonts w:ascii="Times New Roman" w:hAnsi="Times New Roman" w:eastAsia="仿宋_GB2312"/>
          <w:color w:val="auto"/>
          <w:sz w:val="32"/>
          <w:szCs w:val="32"/>
        </w:rPr>
        <w:t>8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月高温高湿有急性病斑出现时，应立即施药防治。可选氟硅唑、氟环唑、代森锰锌、丙森锌、咪鲜胺、嘧菌酯、吡醚·甲硫灵、溴菌·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多菌灵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等药剂。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43" w:firstLineChars="200"/>
        <w:jc w:val="left"/>
        <w:textAlignment w:val="auto"/>
        <w:outlineLvl w:val="9"/>
        <w:rPr>
          <w:rFonts w:ascii="Times New Roman" w:hAnsi="Times New Roman" w:eastAsia="楷体_GB2312"/>
          <w:b/>
          <w:bCs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楷体_GB2312"/>
          <w:b/>
          <w:bCs/>
          <w:color w:val="auto"/>
          <w:kern w:val="0"/>
          <w:sz w:val="32"/>
          <w:szCs w:val="32"/>
        </w:rPr>
        <w:t>（四）柑</w:t>
      </w:r>
      <w:r>
        <w:rPr>
          <w:rFonts w:hint="eastAsia" w:ascii="Times New Roman" w:hAnsi="Times New Roman" w:eastAsia="楷体_GB2312"/>
          <w:b/>
          <w:bCs/>
          <w:color w:val="auto"/>
          <w:kern w:val="0"/>
          <w:sz w:val="32"/>
          <w:szCs w:val="32"/>
          <w:lang w:eastAsia="zh-CN"/>
        </w:rPr>
        <w:t>橘</w:t>
      </w:r>
      <w:r>
        <w:rPr>
          <w:rFonts w:hint="eastAsia" w:ascii="Times New Roman" w:hAnsi="Times New Roman" w:eastAsia="楷体_GB2312"/>
          <w:b/>
          <w:bCs/>
          <w:color w:val="auto"/>
          <w:kern w:val="0"/>
          <w:sz w:val="32"/>
          <w:szCs w:val="32"/>
        </w:rPr>
        <w:t>疮痂病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43" w:firstLineChars="200"/>
        <w:jc w:val="left"/>
        <w:textAlignment w:val="auto"/>
        <w:outlineLvl w:val="9"/>
        <w:rPr>
          <w:rFonts w:ascii="Times New Roman" w:hAnsi="Times New Roman" w:eastAsia="仿宋_GB2312"/>
          <w:b/>
          <w:bCs/>
          <w:color w:val="auto"/>
          <w:sz w:val="32"/>
          <w:szCs w:val="32"/>
        </w:rPr>
      </w:pPr>
      <w:r>
        <w:rPr>
          <w:rFonts w:ascii="Times New Roman" w:hAnsi="Times New Roman" w:eastAsia="仿宋_GB2312"/>
          <w:b/>
          <w:bCs/>
          <w:color w:val="auto"/>
          <w:sz w:val="32"/>
          <w:szCs w:val="32"/>
        </w:rPr>
        <w:t>1</w:t>
      </w:r>
      <w:r>
        <w:rPr>
          <w:rFonts w:hint="eastAsia" w:ascii="Times New Roman" w:hAnsi="Times New Roman" w:eastAsia="仿宋_GB2312"/>
          <w:b/>
          <w:bCs/>
          <w:color w:val="auto"/>
          <w:sz w:val="32"/>
          <w:szCs w:val="32"/>
        </w:rPr>
        <w:t>、农业防治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40" w:firstLineChars="200"/>
        <w:jc w:val="left"/>
        <w:textAlignment w:val="auto"/>
        <w:outlineLvl w:val="9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参照柑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橘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砂皮病。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43" w:firstLineChars="200"/>
        <w:jc w:val="left"/>
        <w:textAlignment w:val="auto"/>
        <w:outlineLvl w:val="9"/>
        <w:rPr>
          <w:rFonts w:ascii="Times New Roman" w:hAnsi="Times New Roman" w:eastAsia="仿宋_GB2312"/>
          <w:b/>
          <w:bCs/>
          <w:color w:val="auto"/>
          <w:sz w:val="32"/>
          <w:szCs w:val="32"/>
        </w:rPr>
      </w:pPr>
      <w:r>
        <w:rPr>
          <w:rFonts w:ascii="Times New Roman" w:hAnsi="Times New Roman" w:eastAsia="仿宋_GB2312"/>
          <w:b/>
          <w:bCs/>
          <w:color w:val="auto"/>
          <w:sz w:val="32"/>
          <w:szCs w:val="32"/>
        </w:rPr>
        <w:t>2</w:t>
      </w:r>
      <w:r>
        <w:rPr>
          <w:rFonts w:hint="eastAsia" w:ascii="Times New Roman" w:hAnsi="Times New Roman" w:eastAsia="仿宋_GB2312"/>
          <w:b/>
          <w:bCs/>
          <w:color w:val="auto"/>
          <w:sz w:val="32"/>
          <w:szCs w:val="32"/>
        </w:rPr>
        <w:t>、化学防治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40" w:firstLineChars="200"/>
        <w:jc w:val="left"/>
        <w:textAlignment w:val="auto"/>
        <w:outlineLvl w:val="9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重点保护蜜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橘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嫩叶和幼果。在春梢新芽长</w:t>
      </w:r>
      <w:r>
        <w:rPr>
          <w:rFonts w:ascii="Times New Roman" w:hAnsi="Times New Roman" w:eastAsia="仿宋_GB2312"/>
          <w:color w:val="auto"/>
          <w:sz w:val="32"/>
          <w:szCs w:val="32"/>
        </w:rPr>
        <w:t>0.5cm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左右时，施药保护春梢；在谢花三分之二时施药保护幼果。可选硫酸铜钙、代森锰锌、噻菌铜、嘧菌酯、苯醚甲环唑、甲基硫菌灵等药剂。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43" w:firstLineChars="200"/>
        <w:jc w:val="left"/>
        <w:textAlignment w:val="auto"/>
        <w:outlineLvl w:val="9"/>
        <w:rPr>
          <w:rFonts w:ascii="Times New Roman" w:hAnsi="Times New Roman" w:eastAsia="楷体_GB2312"/>
          <w:b/>
          <w:bCs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楷体_GB2312"/>
          <w:b/>
          <w:bCs/>
          <w:color w:val="auto"/>
          <w:kern w:val="0"/>
          <w:sz w:val="32"/>
          <w:szCs w:val="32"/>
        </w:rPr>
        <w:t>（五）柑</w:t>
      </w:r>
      <w:r>
        <w:rPr>
          <w:rFonts w:hint="eastAsia" w:ascii="Times New Roman" w:hAnsi="Times New Roman" w:eastAsia="楷体_GB2312"/>
          <w:b/>
          <w:bCs/>
          <w:color w:val="auto"/>
          <w:kern w:val="0"/>
          <w:sz w:val="32"/>
          <w:szCs w:val="32"/>
          <w:lang w:eastAsia="zh-CN"/>
        </w:rPr>
        <w:t>橘</w:t>
      </w:r>
      <w:r>
        <w:rPr>
          <w:rFonts w:hint="eastAsia" w:ascii="Times New Roman" w:hAnsi="Times New Roman" w:eastAsia="楷体_GB2312"/>
          <w:b/>
          <w:bCs/>
          <w:color w:val="auto"/>
          <w:kern w:val="0"/>
          <w:sz w:val="32"/>
          <w:szCs w:val="32"/>
        </w:rPr>
        <w:t>大实蝇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40" w:firstLineChars="200"/>
        <w:jc w:val="left"/>
        <w:textAlignment w:val="auto"/>
        <w:outlineLvl w:val="9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做好成虫羽化进度监测，准确掌握羽化盛期，确定准确防治时期，注重区域联防联控。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43" w:firstLineChars="200"/>
        <w:jc w:val="left"/>
        <w:textAlignment w:val="auto"/>
        <w:outlineLvl w:val="9"/>
        <w:rPr>
          <w:rFonts w:ascii="Times New Roman" w:hAnsi="Times New Roman" w:eastAsia="仿宋_GB2312"/>
          <w:b/>
          <w:bCs/>
          <w:color w:val="auto"/>
          <w:sz w:val="32"/>
          <w:szCs w:val="32"/>
        </w:rPr>
      </w:pPr>
      <w:r>
        <w:rPr>
          <w:rFonts w:ascii="Times New Roman" w:hAnsi="Times New Roman" w:eastAsia="仿宋_GB2312"/>
          <w:b/>
          <w:bCs/>
          <w:color w:val="auto"/>
          <w:sz w:val="32"/>
          <w:szCs w:val="32"/>
        </w:rPr>
        <w:t>1</w:t>
      </w:r>
      <w:r>
        <w:rPr>
          <w:rFonts w:hint="eastAsia" w:ascii="Times New Roman" w:hAnsi="Times New Roman" w:eastAsia="仿宋_GB2312"/>
          <w:b/>
          <w:bCs/>
          <w:color w:val="auto"/>
          <w:sz w:val="32"/>
          <w:szCs w:val="32"/>
        </w:rPr>
        <w:t>、成虫诱杀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40" w:firstLineChars="200"/>
        <w:jc w:val="left"/>
        <w:textAlignment w:val="auto"/>
        <w:outlineLvl w:val="9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在柑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橘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大实蝇羽化始盛期至盛末期，一般在</w:t>
      </w:r>
      <w:r>
        <w:rPr>
          <w:rFonts w:ascii="Times New Roman" w:hAnsi="Times New Roman" w:eastAsia="仿宋_GB2312"/>
          <w:color w:val="auto"/>
          <w:sz w:val="32"/>
          <w:szCs w:val="32"/>
        </w:rPr>
        <w:t>5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月下旬至</w:t>
      </w:r>
      <w:r>
        <w:rPr>
          <w:rFonts w:ascii="Times New Roman" w:hAnsi="Times New Roman" w:eastAsia="仿宋_GB2312"/>
          <w:color w:val="auto"/>
          <w:sz w:val="32"/>
          <w:szCs w:val="32"/>
        </w:rPr>
        <w:t>7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月中旬期间诱杀成虫。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40" w:firstLineChars="200"/>
        <w:jc w:val="left"/>
        <w:textAlignment w:val="auto"/>
        <w:outlineLvl w:val="9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（</w:t>
      </w:r>
      <w:r>
        <w:rPr>
          <w:rFonts w:ascii="Times New Roman" w:hAnsi="Times New Roman" w:eastAsia="仿宋_GB2312"/>
          <w:color w:val="auto"/>
          <w:sz w:val="32"/>
          <w:szCs w:val="32"/>
        </w:rPr>
        <w:t>1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）食诱剂诱杀。用</w:t>
      </w:r>
      <w:r>
        <w:rPr>
          <w:rFonts w:ascii="Times New Roman" w:hAnsi="Times New Roman" w:eastAsia="仿宋_GB2312"/>
          <w:color w:val="auto"/>
          <w:sz w:val="32"/>
          <w:szCs w:val="32"/>
        </w:rPr>
        <w:t>0.1%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阿维菌素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饵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剂，每亩喷</w:t>
      </w:r>
      <w:r>
        <w:rPr>
          <w:rFonts w:ascii="Times New Roman" w:hAnsi="Times New Roman" w:eastAsia="仿宋_GB2312"/>
          <w:color w:val="auto"/>
          <w:sz w:val="32"/>
          <w:szCs w:val="32"/>
        </w:rPr>
        <w:t>10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个点，每点</w:t>
      </w:r>
      <w:r>
        <w:rPr>
          <w:rFonts w:ascii="Times New Roman" w:hAnsi="Times New Roman" w:eastAsia="仿宋_GB2312"/>
          <w:color w:val="auto"/>
          <w:sz w:val="32"/>
          <w:szCs w:val="32"/>
        </w:rPr>
        <w:t>0.5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平方米，在中下部树冠叶背点喷诱杀，每隔</w:t>
      </w:r>
      <w:r>
        <w:rPr>
          <w:rFonts w:ascii="Times New Roman" w:hAnsi="Times New Roman" w:eastAsia="仿宋_GB2312"/>
          <w:color w:val="auto"/>
          <w:sz w:val="32"/>
          <w:szCs w:val="32"/>
        </w:rPr>
        <w:t>7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天喷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一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次，一般喷</w:t>
      </w:r>
      <w:r>
        <w:rPr>
          <w:rFonts w:ascii="Times New Roman" w:hAnsi="Times New Roman" w:eastAsia="仿宋_GB2312"/>
          <w:color w:val="auto"/>
          <w:sz w:val="32"/>
          <w:szCs w:val="32"/>
        </w:rPr>
        <w:t>4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～</w:t>
      </w:r>
      <w:r>
        <w:rPr>
          <w:rFonts w:ascii="Times New Roman" w:hAnsi="Times New Roman" w:eastAsia="仿宋_GB2312"/>
          <w:color w:val="auto"/>
          <w:sz w:val="32"/>
          <w:szCs w:val="32"/>
        </w:rPr>
        <w:t>6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次。或者配制糖醋液，每亩喷三分之一柑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橘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树，每株树喷三分之一树冠，每隔</w:t>
      </w:r>
      <w:r>
        <w:rPr>
          <w:rFonts w:ascii="Times New Roman" w:hAnsi="Times New Roman" w:eastAsia="仿宋_GB2312"/>
          <w:color w:val="auto"/>
          <w:sz w:val="32"/>
          <w:szCs w:val="32"/>
        </w:rPr>
        <w:t>7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～</w:t>
      </w:r>
      <w:r>
        <w:rPr>
          <w:rFonts w:ascii="Times New Roman" w:hAnsi="Times New Roman" w:eastAsia="仿宋_GB2312"/>
          <w:color w:val="auto"/>
          <w:sz w:val="32"/>
          <w:szCs w:val="32"/>
        </w:rPr>
        <w:t>10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天施药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一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次，一般喷</w:t>
      </w:r>
      <w:r>
        <w:rPr>
          <w:rFonts w:ascii="Times New Roman" w:hAnsi="Times New Roman" w:eastAsia="仿宋_GB2312"/>
          <w:color w:val="auto"/>
          <w:sz w:val="32"/>
          <w:szCs w:val="32"/>
        </w:rPr>
        <w:t>4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～</w:t>
      </w:r>
      <w:r>
        <w:rPr>
          <w:rFonts w:ascii="Times New Roman" w:hAnsi="Times New Roman" w:eastAsia="仿宋_GB2312"/>
          <w:color w:val="auto"/>
          <w:sz w:val="32"/>
          <w:szCs w:val="32"/>
        </w:rPr>
        <w:t>6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次；或每亩挂瓶</w:t>
      </w:r>
      <w:r>
        <w:rPr>
          <w:rFonts w:ascii="Times New Roman" w:hAnsi="Times New Roman" w:eastAsia="仿宋_GB2312"/>
          <w:color w:val="auto"/>
          <w:sz w:val="32"/>
          <w:szCs w:val="32"/>
        </w:rPr>
        <w:t>10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个，</w:t>
      </w:r>
      <w:r>
        <w:rPr>
          <w:rFonts w:ascii="Times New Roman" w:hAnsi="Times New Roman" w:eastAsia="仿宋_GB2312"/>
          <w:color w:val="auto"/>
          <w:sz w:val="32"/>
          <w:szCs w:val="32"/>
        </w:rPr>
        <w:t>7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～</w:t>
      </w:r>
      <w:r>
        <w:rPr>
          <w:rFonts w:ascii="Times New Roman" w:hAnsi="Times New Roman" w:eastAsia="仿宋_GB2312"/>
          <w:color w:val="auto"/>
          <w:sz w:val="32"/>
          <w:szCs w:val="32"/>
        </w:rPr>
        <w:t>10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天添加糖醋液。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40" w:firstLineChars="200"/>
        <w:jc w:val="left"/>
        <w:textAlignment w:val="auto"/>
        <w:outlineLvl w:val="9"/>
        <w:rPr>
          <w:rFonts w:ascii="Times New Roman" w:hAnsi="Times New Roman" w:eastAsia="仿宋_GB2312"/>
          <w:color w:val="auto"/>
          <w:spacing w:val="-6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（</w:t>
      </w:r>
      <w:r>
        <w:rPr>
          <w:rFonts w:ascii="Times New Roman" w:hAnsi="Times New Roman" w:eastAsia="仿宋_GB2312"/>
          <w:color w:val="auto"/>
          <w:sz w:val="32"/>
          <w:szCs w:val="32"/>
        </w:rPr>
        <w:t>2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）诱蝇球诱杀。轻发园每</w:t>
      </w:r>
      <w:r>
        <w:rPr>
          <w:rFonts w:ascii="Times New Roman" w:hAnsi="Times New Roman" w:eastAsia="仿宋_GB2312"/>
          <w:color w:val="auto"/>
          <w:sz w:val="32"/>
          <w:szCs w:val="32"/>
        </w:rPr>
        <w:t>2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～</w:t>
      </w:r>
      <w:r>
        <w:rPr>
          <w:rFonts w:ascii="Times New Roman" w:hAnsi="Times New Roman" w:eastAsia="仿宋_GB2312"/>
          <w:color w:val="auto"/>
          <w:sz w:val="32"/>
          <w:szCs w:val="32"/>
        </w:rPr>
        <w:t>3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株挂</w:t>
      </w:r>
      <w:r>
        <w:rPr>
          <w:rFonts w:ascii="Times New Roman" w:hAnsi="Times New Roman" w:eastAsia="仿宋_GB2312"/>
          <w:color w:val="auto"/>
          <w:sz w:val="32"/>
          <w:szCs w:val="32"/>
        </w:rPr>
        <w:t>1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个诱蝇球，按</w:t>
      </w:r>
      <w:r>
        <w:rPr>
          <w:rFonts w:hint="eastAsia" w:ascii="Times New Roman" w:hAnsi="Times New Roman" w:eastAsia="仿宋_GB2312"/>
          <w:color w:val="auto"/>
          <w:spacing w:val="-6"/>
          <w:sz w:val="32"/>
          <w:szCs w:val="32"/>
          <w:lang w:eastAsia="zh-CN"/>
        </w:rPr>
        <w:t>橘</w:t>
      </w:r>
      <w:r>
        <w:rPr>
          <w:rFonts w:hint="eastAsia" w:ascii="Times New Roman" w:hAnsi="Times New Roman" w:eastAsia="仿宋_GB2312"/>
          <w:color w:val="auto"/>
          <w:spacing w:val="-6"/>
          <w:sz w:val="32"/>
          <w:szCs w:val="32"/>
        </w:rPr>
        <w:t>园周边密度高、中间稀的原则悬挂。提倡使用全降解诱蝇球。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43" w:firstLineChars="200"/>
        <w:jc w:val="left"/>
        <w:textAlignment w:val="auto"/>
        <w:outlineLvl w:val="9"/>
        <w:rPr>
          <w:rFonts w:ascii="Times New Roman" w:hAnsi="Times New Roman" w:eastAsia="仿宋_GB2312"/>
          <w:b/>
          <w:bCs/>
          <w:color w:val="auto"/>
          <w:sz w:val="32"/>
          <w:szCs w:val="32"/>
        </w:rPr>
      </w:pPr>
      <w:r>
        <w:rPr>
          <w:rFonts w:ascii="Times New Roman" w:hAnsi="Times New Roman" w:eastAsia="仿宋_GB2312"/>
          <w:b/>
          <w:bCs/>
          <w:color w:val="auto"/>
          <w:sz w:val="32"/>
          <w:szCs w:val="32"/>
        </w:rPr>
        <w:t>2</w:t>
      </w:r>
      <w:r>
        <w:rPr>
          <w:rFonts w:hint="eastAsia" w:ascii="Times New Roman" w:hAnsi="Times New Roman" w:eastAsia="仿宋_GB2312"/>
          <w:b/>
          <w:bCs/>
          <w:color w:val="auto"/>
          <w:sz w:val="32"/>
          <w:szCs w:val="32"/>
        </w:rPr>
        <w:t>、虫果处理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40" w:firstLineChars="200"/>
        <w:jc w:val="left"/>
        <w:textAlignment w:val="auto"/>
        <w:outlineLvl w:val="9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（</w:t>
      </w:r>
      <w:r>
        <w:rPr>
          <w:rFonts w:ascii="Times New Roman" w:hAnsi="Times New Roman" w:eastAsia="仿宋_GB2312"/>
          <w:color w:val="auto"/>
          <w:sz w:val="32"/>
          <w:szCs w:val="32"/>
        </w:rPr>
        <w:t>1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）捡拾落果。从</w:t>
      </w:r>
      <w:r>
        <w:rPr>
          <w:rFonts w:ascii="Times New Roman" w:hAnsi="Times New Roman" w:eastAsia="仿宋_GB2312"/>
          <w:color w:val="auto"/>
          <w:sz w:val="32"/>
          <w:szCs w:val="32"/>
        </w:rPr>
        <w:t>9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月中旬至</w:t>
      </w:r>
      <w:r>
        <w:rPr>
          <w:rFonts w:ascii="Times New Roman" w:hAnsi="Times New Roman" w:eastAsia="仿宋_GB2312"/>
          <w:color w:val="auto"/>
          <w:sz w:val="32"/>
          <w:szCs w:val="32"/>
        </w:rPr>
        <w:t>11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月下旬，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～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3天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捡拾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一次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落果，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高峰期每天捡拾一次。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摘除未落的虫果，每</w:t>
      </w:r>
      <w:r>
        <w:rPr>
          <w:rFonts w:ascii="Times New Roman" w:hAnsi="Times New Roman" w:eastAsia="仿宋_GB2312"/>
          <w:color w:val="auto"/>
          <w:sz w:val="32"/>
          <w:szCs w:val="32"/>
        </w:rPr>
        <w:t>7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天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一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（</w:t>
      </w:r>
      <w:r>
        <w:rPr>
          <w:rFonts w:ascii="Times New Roman" w:hAnsi="Times New Roman" w:eastAsia="仿宋_GB2312"/>
          <w:color w:val="auto"/>
          <w:sz w:val="32"/>
          <w:szCs w:val="32"/>
        </w:rPr>
        <w:t>2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）虫果处理。捡拾和摘除的落果就地置于专用虫果处理袋中，扎紧口袋密封闷杀。</w:t>
      </w:r>
      <w:r>
        <w:rPr>
          <w:rFonts w:ascii="Times New Roman" w:hAnsi="Times New Roman" w:eastAsia="仿宋_GB2312"/>
          <w:color w:val="auto"/>
          <w:sz w:val="32"/>
          <w:szCs w:val="32"/>
        </w:rPr>
        <w:t>7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～</w:t>
      </w:r>
      <w:r>
        <w:rPr>
          <w:rFonts w:ascii="Times New Roman" w:hAnsi="Times New Roman" w:eastAsia="仿宋_GB2312"/>
          <w:color w:val="auto"/>
          <w:sz w:val="32"/>
          <w:szCs w:val="32"/>
        </w:rPr>
        <w:t>10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天果实腐烂后将烂果埋入土中作肥料，虫果处理袋可重复使用。也可将收集的虫果集中于虫果处理池中浸泡灭杀，或喂鱼、喂猪。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43" w:firstLineChars="200"/>
        <w:jc w:val="left"/>
        <w:textAlignment w:val="auto"/>
        <w:outlineLvl w:val="9"/>
        <w:rPr>
          <w:rFonts w:hint="default" w:ascii="Times New Roman" w:hAnsi="Times New Roman" w:eastAsia="楷体_GB2312"/>
          <w:b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/>
          <w:b/>
          <w:bCs/>
          <w:color w:val="auto"/>
          <w:kern w:val="0"/>
          <w:sz w:val="32"/>
          <w:szCs w:val="32"/>
        </w:rPr>
        <w:t>（六）</w:t>
      </w:r>
      <w:r>
        <w:rPr>
          <w:rFonts w:hint="eastAsia" w:ascii="Times New Roman" w:hAnsi="Times New Roman" w:eastAsia="楷体_GB2312"/>
          <w:b/>
          <w:bCs/>
          <w:color w:val="auto"/>
          <w:kern w:val="0"/>
          <w:sz w:val="32"/>
          <w:szCs w:val="32"/>
          <w:lang w:val="en-US" w:eastAsia="zh-CN"/>
        </w:rPr>
        <w:t>橘小实蝇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橘小实蝇在多种水果间辗转为害，橘小实蝇防控不但要做好橘园防控工作，还必须做好橘园周边其他果园防控工作。每年5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～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 xml:space="preserve">10月，选择上年危害较重的果园（桃、李、枇杷、梨、枣、猕猴桃、柑橘等），悬挂甲基丁香酚诱捕瓶或甲基丁香酚黄色粘虫板监测成虫发生期，确定成虫防治时期。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43" w:firstLineChars="200"/>
        <w:jc w:val="left"/>
        <w:textAlignment w:val="auto"/>
        <w:outlineLvl w:val="9"/>
        <w:rPr>
          <w:rFonts w:hint="eastAsia" w:ascii="Times New Roman" w:hAnsi="Times New Roman" w:eastAsia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b/>
          <w:bCs/>
          <w:color w:val="auto"/>
          <w:sz w:val="32"/>
          <w:szCs w:val="32"/>
          <w:lang w:val="en-US" w:eastAsia="zh-CN"/>
        </w:rPr>
        <w:t>1、成虫诱杀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当监测到成虫时，开始防治。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（1）食诱剂诱杀。采用</w:t>
      </w:r>
      <w:r>
        <w:rPr>
          <w:rFonts w:ascii="Times New Roman" w:hAnsi="Times New Roman" w:eastAsia="仿宋_GB2312"/>
          <w:color w:val="auto"/>
          <w:sz w:val="32"/>
          <w:szCs w:val="32"/>
        </w:rPr>
        <w:t>0.1%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阿维菌素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饵剂或糖醋液等食诱剂诱杀成虫，具体方法参见柑橘大实蝇。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（2）甲基丁香酚诱杀。橘园周边的桃园、梨园等其他果园应从6月上旬、猕猴桃园和橘园应在8月上旬开始悬挂甲基丁香酚黄色粘虫板，一直持续到果实采摘完。每3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～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5棵树悬挂1片粘虫板，15天后更换一次。或悬挂甲基丁香酚诱捕瓶，每亩挂10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～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15个，隔15天添加一次甲基丁香酚。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43" w:firstLineChars="200"/>
        <w:jc w:val="left"/>
        <w:textAlignment w:val="auto"/>
        <w:outlineLvl w:val="9"/>
        <w:rPr>
          <w:rFonts w:hint="eastAsia" w:ascii="Times New Roman" w:hAnsi="Times New Roman" w:eastAsia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b/>
          <w:bCs/>
          <w:color w:val="auto"/>
          <w:sz w:val="32"/>
          <w:szCs w:val="32"/>
          <w:lang w:val="en-US" w:eastAsia="zh-CN"/>
        </w:rPr>
        <w:t>2、药剂防治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在果实转色期、橘小实蝇产卵盛期前，平均单个诱捕瓶或粘虫板每天诱集到 10 头以上成虫时，可选择甲维盐、噻虫嗪等药剂添加红糖喷施，红糖浓度为 2%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～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5%，每棵树喷 1 个枝条，从果园四周向中央围喷（可隔行喷施）。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textAlignment w:val="auto"/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b/>
          <w:bCs/>
          <w:color w:val="auto"/>
          <w:sz w:val="32"/>
          <w:szCs w:val="32"/>
          <w:lang w:val="en-US" w:eastAsia="zh-CN"/>
        </w:rPr>
        <w:t>3、虫果处理。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在虫果落果期，要及时处理虫果，具体方法参见柑橘大实蝇。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43" w:firstLineChars="200"/>
        <w:jc w:val="left"/>
        <w:textAlignment w:val="auto"/>
        <w:outlineLvl w:val="9"/>
        <w:rPr>
          <w:rFonts w:ascii="Times New Roman" w:hAnsi="Times New Roman" w:eastAsia="楷体_GB2312"/>
          <w:b/>
          <w:bCs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楷体_GB2312"/>
          <w:b/>
          <w:bCs/>
          <w:color w:val="auto"/>
          <w:kern w:val="0"/>
          <w:sz w:val="32"/>
          <w:szCs w:val="32"/>
        </w:rPr>
        <w:t>（</w:t>
      </w:r>
      <w:r>
        <w:rPr>
          <w:rFonts w:hint="eastAsia" w:ascii="Times New Roman" w:hAnsi="Times New Roman" w:eastAsia="楷体_GB2312"/>
          <w:b/>
          <w:bCs/>
          <w:color w:val="auto"/>
          <w:kern w:val="0"/>
          <w:sz w:val="32"/>
          <w:szCs w:val="32"/>
          <w:lang w:val="en-US" w:eastAsia="zh-CN"/>
        </w:rPr>
        <w:t>七</w:t>
      </w:r>
      <w:r>
        <w:rPr>
          <w:rFonts w:hint="eastAsia" w:ascii="Times New Roman" w:hAnsi="Times New Roman" w:eastAsia="楷体_GB2312"/>
          <w:b/>
          <w:bCs/>
          <w:color w:val="auto"/>
          <w:kern w:val="0"/>
          <w:sz w:val="32"/>
          <w:szCs w:val="32"/>
        </w:rPr>
        <w:t>）柑</w:t>
      </w:r>
      <w:r>
        <w:rPr>
          <w:rFonts w:hint="eastAsia" w:ascii="Times New Roman" w:hAnsi="Times New Roman" w:eastAsia="楷体_GB2312"/>
          <w:b/>
          <w:bCs/>
          <w:color w:val="auto"/>
          <w:kern w:val="0"/>
          <w:sz w:val="32"/>
          <w:szCs w:val="32"/>
          <w:lang w:eastAsia="zh-CN"/>
        </w:rPr>
        <w:t>橘</w:t>
      </w:r>
      <w:r>
        <w:rPr>
          <w:rFonts w:hint="eastAsia" w:ascii="Times New Roman" w:hAnsi="Times New Roman" w:eastAsia="楷体_GB2312"/>
          <w:b/>
          <w:bCs/>
          <w:color w:val="auto"/>
          <w:kern w:val="0"/>
          <w:sz w:val="32"/>
          <w:szCs w:val="32"/>
        </w:rPr>
        <w:t>红蜘蛛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787" w:firstLineChars="245"/>
        <w:jc w:val="left"/>
        <w:textAlignment w:val="auto"/>
        <w:outlineLvl w:val="9"/>
        <w:rPr>
          <w:rFonts w:ascii="Times New Roman" w:hAnsi="Times New Roman" w:eastAsia="仿宋_GB2312"/>
          <w:b/>
          <w:bCs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/>
          <w:b/>
          <w:bCs/>
          <w:color w:val="auto"/>
          <w:kern w:val="0"/>
          <w:sz w:val="32"/>
          <w:szCs w:val="32"/>
        </w:rPr>
        <w:t>1</w:t>
      </w:r>
      <w:r>
        <w:rPr>
          <w:rFonts w:hint="eastAsia" w:ascii="Times New Roman" w:hAnsi="Times New Roman" w:eastAsia="仿宋_GB2312"/>
          <w:b/>
          <w:bCs/>
          <w:color w:val="auto"/>
          <w:kern w:val="0"/>
          <w:sz w:val="32"/>
          <w:szCs w:val="32"/>
        </w:rPr>
        <w:t>、冬春季修剪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784" w:firstLineChars="245"/>
        <w:jc w:val="left"/>
        <w:textAlignment w:val="auto"/>
        <w:outlineLvl w:val="9"/>
        <w:rPr>
          <w:rFonts w:ascii="Times New Roman" w:hAnsi="Times New Roman" w:eastAsia="仿宋_GB2312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剪除潜叶蛾为害的僵叶，并进行清园，可选石硫合剂、矿物油等药剂。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787" w:firstLineChars="245"/>
        <w:jc w:val="left"/>
        <w:textAlignment w:val="auto"/>
        <w:outlineLvl w:val="9"/>
        <w:rPr>
          <w:rFonts w:ascii="Times New Roman" w:hAnsi="Times New Roman" w:eastAsia="仿宋_GB2312"/>
          <w:b/>
          <w:bCs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/>
          <w:b/>
          <w:bCs/>
          <w:color w:val="auto"/>
          <w:kern w:val="0"/>
          <w:sz w:val="32"/>
          <w:szCs w:val="32"/>
        </w:rPr>
        <w:t>2</w:t>
      </w:r>
      <w:r>
        <w:rPr>
          <w:rFonts w:hint="eastAsia" w:ascii="Times New Roman" w:hAnsi="Times New Roman" w:eastAsia="仿宋_GB2312"/>
          <w:b/>
          <w:bCs/>
          <w:color w:val="auto"/>
          <w:kern w:val="0"/>
          <w:sz w:val="32"/>
          <w:szCs w:val="32"/>
        </w:rPr>
        <w:t>、以螨治螨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784" w:firstLineChars="245"/>
        <w:jc w:val="left"/>
        <w:textAlignment w:val="auto"/>
        <w:outlineLvl w:val="9"/>
        <w:rPr>
          <w:rFonts w:ascii="Times New Roman" w:hAnsi="Times New Roman" w:eastAsia="仿宋_GB2312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通过释放捕食螨、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橘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园生草等技术防控柑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橘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害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螨。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在释放捕食螨前，先用农药清园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1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次，降低害螨数量到百叶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200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头以下。分别在春、秋两季释放，每株挂放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1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袋于避光的中上部分枝处。挂放捕食螨后避免使用杀螨剂。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787" w:firstLineChars="245"/>
        <w:jc w:val="left"/>
        <w:textAlignment w:val="auto"/>
        <w:outlineLvl w:val="9"/>
        <w:rPr>
          <w:rFonts w:ascii="Times New Roman" w:hAnsi="Times New Roman" w:eastAsia="仿宋_GB2312"/>
          <w:b/>
          <w:bCs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/>
          <w:b/>
          <w:bCs/>
          <w:color w:val="auto"/>
          <w:kern w:val="0"/>
          <w:sz w:val="32"/>
          <w:szCs w:val="32"/>
        </w:rPr>
        <w:t>3</w:t>
      </w:r>
      <w:r>
        <w:rPr>
          <w:rFonts w:hint="eastAsia" w:ascii="Times New Roman" w:hAnsi="Times New Roman" w:eastAsia="仿宋_GB2312"/>
          <w:b/>
          <w:bCs/>
          <w:color w:val="auto"/>
          <w:kern w:val="0"/>
          <w:sz w:val="32"/>
          <w:szCs w:val="32"/>
        </w:rPr>
        <w:t>、化学防治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784" w:firstLineChars="245"/>
        <w:jc w:val="left"/>
        <w:textAlignment w:val="auto"/>
        <w:outlineLvl w:val="9"/>
        <w:rPr>
          <w:rFonts w:ascii="Times New Roman" w:hAnsi="Times New Roman" w:eastAsia="仿宋_GB2312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春季防治指标为每叶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3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～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4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头（有螨叶率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65%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），夏秋季为每叶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5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～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7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头（有螨叶率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85%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）。可选矿物油、螺螨酯、哒螨灵、炔螨特、乙螨唑、氟虫脲、阿维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·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炔螨特、阿维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·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达螨灵、阿维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·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噻螨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酮等药剂。应注意轮换使用不同机理的农药品种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每种药剂每年使用不超过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2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787" w:firstLineChars="245"/>
        <w:jc w:val="left"/>
        <w:textAlignment w:val="auto"/>
        <w:outlineLvl w:val="9"/>
        <w:rPr>
          <w:rFonts w:ascii="Times New Roman" w:hAnsi="Times New Roman" w:eastAsia="楷体_GB2312"/>
          <w:b/>
          <w:bCs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楷体_GB2312"/>
          <w:b/>
          <w:bCs/>
          <w:color w:val="auto"/>
          <w:kern w:val="0"/>
          <w:sz w:val="32"/>
          <w:szCs w:val="32"/>
        </w:rPr>
        <w:t>（</w:t>
      </w:r>
      <w:r>
        <w:rPr>
          <w:rFonts w:hint="eastAsia" w:ascii="Times New Roman" w:hAnsi="Times New Roman" w:eastAsia="楷体_GB2312"/>
          <w:b/>
          <w:bCs/>
          <w:color w:val="auto"/>
          <w:kern w:val="0"/>
          <w:sz w:val="32"/>
          <w:szCs w:val="32"/>
          <w:lang w:val="en-US" w:eastAsia="zh-CN"/>
        </w:rPr>
        <w:t>八</w:t>
      </w:r>
      <w:r>
        <w:rPr>
          <w:rFonts w:hint="eastAsia" w:ascii="Times New Roman" w:hAnsi="Times New Roman" w:eastAsia="楷体_GB2312"/>
          <w:b/>
          <w:bCs/>
          <w:color w:val="auto"/>
          <w:kern w:val="0"/>
          <w:sz w:val="32"/>
          <w:szCs w:val="32"/>
        </w:rPr>
        <w:t>）柑</w:t>
      </w:r>
      <w:r>
        <w:rPr>
          <w:rFonts w:hint="eastAsia" w:ascii="Times New Roman" w:hAnsi="Times New Roman" w:eastAsia="楷体_GB2312"/>
          <w:b/>
          <w:bCs/>
          <w:color w:val="auto"/>
          <w:kern w:val="0"/>
          <w:sz w:val="32"/>
          <w:szCs w:val="32"/>
          <w:lang w:eastAsia="zh-CN"/>
        </w:rPr>
        <w:t>橘</w:t>
      </w:r>
      <w:r>
        <w:rPr>
          <w:rFonts w:hint="eastAsia" w:ascii="Times New Roman" w:hAnsi="Times New Roman" w:eastAsia="楷体_GB2312"/>
          <w:b/>
          <w:bCs/>
          <w:color w:val="auto"/>
          <w:kern w:val="0"/>
          <w:sz w:val="32"/>
          <w:szCs w:val="32"/>
        </w:rPr>
        <w:t>锈壁虱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787" w:firstLineChars="245"/>
        <w:jc w:val="left"/>
        <w:textAlignment w:val="auto"/>
        <w:outlineLvl w:val="9"/>
        <w:rPr>
          <w:rFonts w:ascii="Times New Roman" w:hAnsi="Times New Roman" w:eastAsia="仿宋_GB2312"/>
          <w:b/>
          <w:bCs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/>
          <w:b/>
          <w:bCs/>
          <w:color w:val="auto"/>
          <w:kern w:val="0"/>
          <w:sz w:val="32"/>
          <w:szCs w:val="32"/>
        </w:rPr>
        <w:t>1</w:t>
      </w:r>
      <w:r>
        <w:rPr>
          <w:rFonts w:hint="eastAsia" w:ascii="Times New Roman" w:hAnsi="Times New Roman" w:eastAsia="仿宋_GB2312"/>
          <w:b/>
          <w:bCs/>
          <w:color w:val="auto"/>
          <w:kern w:val="0"/>
          <w:sz w:val="32"/>
          <w:szCs w:val="32"/>
        </w:rPr>
        <w:t>、冬春季修剪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784" w:firstLineChars="245"/>
        <w:jc w:val="left"/>
        <w:textAlignment w:val="auto"/>
        <w:outlineLvl w:val="9"/>
        <w:rPr>
          <w:rFonts w:ascii="Times New Roman" w:hAnsi="Times New Roman" w:eastAsia="仿宋_GB2312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参照柑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橘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红蜘蛛。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787" w:firstLineChars="245"/>
        <w:jc w:val="left"/>
        <w:textAlignment w:val="auto"/>
        <w:outlineLvl w:val="9"/>
        <w:rPr>
          <w:rFonts w:ascii="Times New Roman" w:hAnsi="Times New Roman" w:eastAsia="仿宋_GB2312"/>
          <w:b/>
          <w:bCs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/>
          <w:b/>
          <w:bCs/>
          <w:color w:val="auto"/>
          <w:kern w:val="0"/>
          <w:sz w:val="32"/>
          <w:szCs w:val="32"/>
        </w:rPr>
        <w:t>2</w:t>
      </w:r>
      <w:r>
        <w:rPr>
          <w:rFonts w:hint="eastAsia" w:ascii="Times New Roman" w:hAnsi="Times New Roman" w:eastAsia="仿宋_GB2312"/>
          <w:b/>
          <w:bCs/>
          <w:color w:val="auto"/>
          <w:kern w:val="0"/>
          <w:sz w:val="32"/>
          <w:szCs w:val="32"/>
        </w:rPr>
        <w:t>、化学防治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784" w:firstLineChars="245"/>
        <w:jc w:val="left"/>
        <w:textAlignment w:val="auto"/>
        <w:outlineLvl w:val="9"/>
        <w:rPr>
          <w:rFonts w:ascii="Times New Roman" w:hAnsi="Times New Roman" w:eastAsia="仿宋_GB2312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发生为害高峰期（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6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～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9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月），果面每视野有虫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2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～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3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头，或发现个别果面覆有灰尘般黄褐色粉状物时，防治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1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～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2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次。可选矿物油、唑螨酯、氟虫脲、虱螨脲、螺螨酯、阿维菌素、石硫合剂等药剂，注意轮换使用。锈壁虱盛发期避免使用铜制剂，以保护锈壁虱的天敌多毛菌。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43" w:firstLineChars="200"/>
        <w:jc w:val="left"/>
        <w:textAlignment w:val="auto"/>
        <w:outlineLvl w:val="9"/>
        <w:rPr>
          <w:rFonts w:ascii="Times New Roman" w:hAnsi="Times New Roman" w:eastAsia="楷体_GB2312"/>
          <w:b/>
          <w:bCs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楷体_GB2312"/>
          <w:b/>
          <w:bCs/>
          <w:color w:val="auto"/>
          <w:kern w:val="0"/>
          <w:sz w:val="32"/>
          <w:szCs w:val="32"/>
        </w:rPr>
        <w:t>（</w:t>
      </w:r>
      <w:r>
        <w:rPr>
          <w:rFonts w:hint="eastAsia" w:ascii="Times New Roman" w:hAnsi="Times New Roman" w:eastAsia="楷体_GB2312"/>
          <w:b/>
          <w:bCs/>
          <w:color w:val="auto"/>
          <w:kern w:val="0"/>
          <w:sz w:val="32"/>
          <w:szCs w:val="32"/>
          <w:lang w:val="en-US" w:eastAsia="zh-CN"/>
        </w:rPr>
        <w:t>九</w:t>
      </w:r>
      <w:r>
        <w:rPr>
          <w:rFonts w:hint="eastAsia" w:ascii="Times New Roman" w:hAnsi="Times New Roman" w:eastAsia="楷体_GB2312"/>
          <w:b/>
          <w:bCs/>
          <w:color w:val="auto"/>
          <w:kern w:val="0"/>
          <w:sz w:val="32"/>
          <w:szCs w:val="32"/>
        </w:rPr>
        <w:t>）柑</w:t>
      </w:r>
      <w:r>
        <w:rPr>
          <w:rFonts w:hint="eastAsia" w:ascii="Times New Roman" w:hAnsi="Times New Roman" w:eastAsia="楷体_GB2312"/>
          <w:b/>
          <w:bCs/>
          <w:color w:val="auto"/>
          <w:kern w:val="0"/>
          <w:sz w:val="32"/>
          <w:szCs w:val="32"/>
          <w:lang w:eastAsia="zh-CN"/>
        </w:rPr>
        <w:t>橘</w:t>
      </w:r>
      <w:r>
        <w:rPr>
          <w:rFonts w:hint="eastAsia" w:ascii="Times New Roman" w:hAnsi="Times New Roman" w:eastAsia="楷体_GB2312"/>
          <w:b/>
          <w:bCs/>
          <w:color w:val="auto"/>
          <w:kern w:val="0"/>
          <w:sz w:val="32"/>
          <w:szCs w:val="32"/>
        </w:rPr>
        <w:t>潜叶蛾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787" w:firstLineChars="245"/>
        <w:jc w:val="left"/>
        <w:textAlignment w:val="auto"/>
        <w:outlineLvl w:val="9"/>
        <w:rPr>
          <w:rFonts w:ascii="Times New Roman" w:hAnsi="Times New Roman" w:eastAsia="仿宋_GB2312"/>
          <w:b/>
          <w:bCs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/>
          <w:b/>
          <w:bCs/>
          <w:color w:val="auto"/>
          <w:kern w:val="0"/>
          <w:sz w:val="32"/>
          <w:szCs w:val="32"/>
        </w:rPr>
        <w:t>1</w:t>
      </w:r>
      <w:r>
        <w:rPr>
          <w:rFonts w:hint="eastAsia" w:ascii="Times New Roman" w:hAnsi="Times New Roman" w:eastAsia="仿宋_GB2312"/>
          <w:b/>
          <w:bCs/>
          <w:color w:val="auto"/>
          <w:kern w:val="0"/>
          <w:sz w:val="32"/>
          <w:szCs w:val="32"/>
        </w:rPr>
        <w:t>、抹芽控梢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784" w:firstLineChars="245"/>
        <w:jc w:val="left"/>
        <w:textAlignment w:val="auto"/>
        <w:outlineLvl w:val="9"/>
        <w:rPr>
          <w:rFonts w:ascii="Times New Roman" w:hAnsi="Times New Roman" w:eastAsia="仿宋_GB2312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成年果园抹芽控梢，统一放秋梢。抹除零星的晚夏梢和早秋梢，在大多数芽萌发时，统一放秋梢，切断潜叶蛾食物链。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787" w:firstLineChars="245"/>
        <w:jc w:val="left"/>
        <w:textAlignment w:val="auto"/>
        <w:outlineLvl w:val="9"/>
        <w:rPr>
          <w:rFonts w:ascii="Times New Roman" w:hAnsi="Times New Roman" w:eastAsia="仿宋_GB2312"/>
          <w:b/>
          <w:bCs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/>
          <w:b/>
          <w:bCs/>
          <w:color w:val="auto"/>
          <w:kern w:val="0"/>
          <w:sz w:val="32"/>
          <w:szCs w:val="32"/>
        </w:rPr>
        <w:t>2</w:t>
      </w:r>
      <w:r>
        <w:rPr>
          <w:rFonts w:hint="eastAsia" w:ascii="Times New Roman" w:hAnsi="Times New Roman" w:eastAsia="仿宋_GB2312"/>
          <w:b/>
          <w:bCs/>
          <w:color w:val="auto"/>
          <w:kern w:val="0"/>
          <w:sz w:val="32"/>
          <w:szCs w:val="32"/>
        </w:rPr>
        <w:t>、性信息素诱杀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784" w:firstLineChars="245"/>
        <w:jc w:val="left"/>
        <w:textAlignment w:val="auto"/>
        <w:outlineLvl w:val="9"/>
        <w:rPr>
          <w:rFonts w:ascii="Times New Roman" w:hAnsi="Times New Roman" w:eastAsia="仿宋_GB2312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主害代成虫羽化始期，每亩放置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4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套信息素诱捕器。诱捕器悬挂于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橘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树阴面通风处的树干上，悬挂高度要高于树冠的二分之一。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787" w:firstLineChars="245"/>
        <w:jc w:val="left"/>
        <w:textAlignment w:val="auto"/>
        <w:outlineLvl w:val="9"/>
        <w:rPr>
          <w:rFonts w:ascii="Times New Roman" w:hAnsi="Times New Roman" w:eastAsia="仿宋_GB2312"/>
          <w:b/>
          <w:bCs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/>
          <w:b/>
          <w:bCs/>
          <w:color w:val="auto"/>
          <w:kern w:val="0"/>
          <w:sz w:val="32"/>
          <w:szCs w:val="32"/>
        </w:rPr>
        <w:t>3</w:t>
      </w:r>
      <w:r>
        <w:rPr>
          <w:rFonts w:hint="eastAsia" w:ascii="Times New Roman" w:hAnsi="Times New Roman" w:eastAsia="仿宋_GB2312"/>
          <w:b/>
          <w:bCs/>
          <w:color w:val="auto"/>
          <w:kern w:val="0"/>
          <w:sz w:val="32"/>
          <w:szCs w:val="32"/>
        </w:rPr>
        <w:t>、化学防治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784" w:firstLineChars="245"/>
        <w:jc w:val="left"/>
        <w:textAlignment w:val="auto"/>
        <w:outlineLvl w:val="9"/>
        <w:rPr>
          <w:rFonts w:ascii="Times New Roman" w:hAnsi="Times New Roman" w:eastAsia="仿宋_GB2312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统一放梢期，新梢芽长约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0.5cm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时，萌芽率约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20%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，有虫卵率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20%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左右时，用药防治。可选印楝素、氟啶脲、氟虫脲、啶虫脒、阿维菌素、高效氯氰菊酯等药剂。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43" w:firstLineChars="200"/>
        <w:jc w:val="left"/>
        <w:textAlignment w:val="auto"/>
        <w:outlineLvl w:val="9"/>
        <w:rPr>
          <w:rFonts w:ascii="Times New Roman" w:hAnsi="Times New Roman" w:eastAsia="楷体_GB2312"/>
          <w:b/>
          <w:bCs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楷体_GB2312"/>
          <w:b/>
          <w:bCs/>
          <w:color w:val="auto"/>
          <w:kern w:val="0"/>
          <w:sz w:val="32"/>
          <w:szCs w:val="32"/>
        </w:rPr>
        <w:t>（</w:t>
      </w:r>
      <w:r>
        <w:rPr>
          <w:rFonts w:hint="eastAsia" w:ascii="Times New Roman" w:hAnsi="Times New Roman" w:eastAsia="楷体_GB2312"/>
          <w:b/>
          <w:bCs/>
          <w:color w:val="auto"/>
          <w:kern w:val="0"/>
          <w:sz w:val="32"/>
          <w:szCs w:val="32"/>
          <w:lang w:val="en-US" w:eastAsia="zh-CN"/>
        </w:rPr>
        <w:t>十</w:t>
      </w:r>
      <w:r>
        <w:rPr>
          <w:rFonts w:hint="eastAsia" w:ascii="Times New Roman" w:hAnsi="Times New Roman" w:eastAsia="楷体_GB2312"/>
          <w:b/>
          <w:bCs/>
          <w:color w:val="auto"/>
          <w:kern w:val="0"/>
          <w:sz w:val="32"/>
          <w:szCs w:val="32"/>
        </w:rPr>
        <w:t>）柑</w:t>
      </w:r>
      <w:r>
        <w:rPr>
          <w:rFonts w:hint="eastAsia" w:ascii="Times New Roman" w:hAnsi="Times New Roman" w:eastAsia="楷体_GB2312"/>
          <w:b/>
          <w:bCs/>
          <w:color w:val="auto"/>
          <w:kern w:val="0"/>
          <w:sz w:val="32"/>
          <w:szCs w:val="32"/>
          <w:lang w:eastAsia="zh-CN"/>
        </w:rPr>
        <w:t>橘</w:t>
      </w:r>
      <w:r>
        <w:rPr>
          <w:rFonts w:hint="eastAsia" w:ascii="Times New Roman" w:hAnsi="Times New Roman" w:eastAsia="楷体_GB2312"/>
          <w:b/>
          <w:bCs/>
          <w:color w:val="auto"/>
          <w:kern w:val="0"/>
          <w:sz w:val="32"/>
          <w:szCs w:val="32"/>
        </w:rPr>
        <w:t>矢尖蚧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787" w:firstLineChars="245"/>
        <w:jc w:val="left"/>
        <w:textAlignment w:val="auto"/>
        <w:outlineLvl w:val="9"/>
        <w:rPr>
          <w:rFonts w:ascii="Times New Roman" w:hAnsi="Times New Roman" w:eastAsia="仿宋_GB2312"/>
          <w:b/>
          <w:bCs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/>
          <w:b/>
          <w:bCs/>
          <w:color w:val="auto"/>
          <w:kern w:val="0"/>
          <w:sz w:val="32"/>
          <w:szCs w:val="32"/>
        </w:rPr>
        <w:t>1</w:t>
      </w:r>
      <w:r>
        <w:rPr>
          <w:rFonts w:hint="eastAsia" w:ascii="Times New Roman" w:hAnsi="Times New Roman" w:eastAsia="仿宋_GB2312"/>
          <w:b/>
          <w:bCs/>
          <w:color w:val="auto"/>
          <w:kern w:val="0"/>
          <w:sz w:val="32"/>
          <w:szCs w:val="32"/>
        </w:rPr>
        <w:t>、冬春季修剪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784" w:firstLineChars="245"/>
        <w:jc w:val="left"/>
        <w:textAlignment w:val="auto"/>
        <w:outlineLvl w:val="9"/>
        <w:rPr>
          <w:rFonts w:ascii="Times New Roman" w:hAnsi="Times New Roman" w:eastAsia="仿宋_GB2312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参照柑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橘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红蜘蛛。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787" w:firstLineChars="245"/>
        <w:jc w:val="left"/>
        <w:textAlignment w:val="auto"/>
        <w:outlineLvl w:val="9"/>
        <w:rPr>
          <w:rFonts w:ascii="Times New Roman" w:hAnsi="Times New Roman" w:eastAsia="仿宋_GB2312"/>
          <w:b/>
          <w:bCs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/>
          <w:b/>
          <w:bCs/>
          <w:color w:val="auto"/>
          <w:kern w:val="0"/>
          <w:sz w:val="32"/>
          <w:szCs w:val="32"/>
        </w:rPr>
        <w:t>2</w:t>
      </w:r>
      <w:r>
        <w:rPr>
          <w:rFonts w:hint="eastAsia" w:ascii="Times New Roman" w:hAnsi="Times New Roman" w:eastAsia="仿宋_GB2312"/>
          <w:b/>
          <w:bCs/>
          <w:color w:val="auto"/>
          <w:kern w:val="0"/>
          <w:sz w:val="32"/>
          <w:szCs w:val="32"/>
        </w:rPr>
        <w:t>、化学防治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784" w:firstLineChars="245"/>
        <w:jc w:val="left"/>
        <w:textAlignment w:val="auto"/>
        <w:outlineLvl w:val="9"/>
        <w:rPr>
          <w:rFonts w:ascii="Times New Roman" w:hAnsi="Times New Roman" w:eastAsia="仿宋_GB2312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重点防治第一代和第二代，狠压基数。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10%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以上叶片或果实有若虫时进行防治，在一、二龄若虫盛发期用药。可选苦参碱、矿物油、松脂酸钠、氟啶虫胺腈、螺虫乙酯、噻嗪酮、高氯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·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啶虫脒等药剂。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43" w:firstLineChars="200"/>
        <w:jc w:val="left"/>
        <w:textAlignment w:val="auto"/>
        <w:outlineLvl w:val="9"/>
        <w:rPr>
          <w:rFonts w:ascii="Times New Roman" w:hAnsi="Times New Roman" w:eastAsia="楷体_GB2312"/>
          <w:b/>
          <w:bCs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楷体_GB2312"/>
          <w:b/>
          <w:bCs/>
          <w:color w:val="auto"/>
          <w:kern w:val="0"/>
          <w:sz w:val="32"/>
          <w:szCs w:val="32"/>
        </w:rPr>
        <w:t>（十</w:t>
      </w:r>
      <w:r>
        <w:rPr>
          <w:rFonts w:hint="eastAsia" w:ascii="Times New Roman" w:hAnsi="Times New Roman" w:eastAsia="楷体_GB2312"/>
          <w:b/>
          <w:bCs/>
          <w:color w:val="auto"/>
          <w:kern w:val="0"/>
          <w:sz w:val="32"/>
          <w:szCs w:val="32"/>
          <w:lang w:val="en-US" w:eastAsia="zh-CN"/>
        </w:rPr>
        <w:t>一</w:t>
      </w:r>
      <w:r>
        <w:rPr>
          <w:rFonts w:hint="eastAsia" w:ascii="Times New Roman" w:hAnsi="Times New Roman" w:eastAsia="楷体_GB2312"/>
          <w:b/>
          <w:bCs/>
          <w:color w:val="auto"/>
          <w:kern w:val="0"/>
          <w:sz w:val="32"/>
          <w:szCs w:val="32"/>
        </w:rPr>
        <w:t>）柑</w:t>
      </w:r>
      <w:r>
        <w:rPr>
          <w:rFonts w:hint="eastAsia" w:ascii="Times New Roman" w:hAnsi="Times New Roman" w:eastAsia="楷体_GB2312"/>
          <w:b/>
          <w:bCs/>
          <w:color w:val="auto"/>
          <w:kern w:val="0"/>
          <w:sz w:val="32"/>
          <w:szCs w:val="32"/>
          <w:lang w:eastAsia="zh-CN"/>
        </w:rPr>
        <w:t>橘</w:t>
      </w:r>
      <w:r>
        <w:rPr>
          <w:rFonts w:hint="eastAsia" w:ascii="Times New Roman" w:hAnsi="Times New Roman" w:eastAsia="楷体_GB2312"/>
          <w:b/>
          <w:bCs/>
          <w:color w:val="auto"/>
          <w:kern w:val="0"/>
          <w:sz w:val="32"/>
          <w:szCs w:val="32"/>
        </w:rPr>
        <w:t>粉虱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787" w:firstLineChars="245"/>
        <w:jc w:val="left"/>
        <w:textAlignment w:val="auto"/>
        <w:outlineLvl w:val="9"/>
        <w:rPr>
          <w:rFonts w:ascii="Times New Roman" w:hAnsi="Times New Roman" w:eastAsia="仿宋_GB2312"/>
          <w:b/>
          <w:bCs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/>
          <w:b/>
          <w:bCs/>
          <w:color w:val="auto"/>
          <w:kern w:val="0"/>
          <w:sz w:val="32"/>
          <w:szCs w:val="32"/>
        </w:rPr>
        <w:t>1</w:t>
      </w:r>
      <w:r>
        <w:rPr>
          <w:rFonts w:hint="eastAsia" w:ascii="Times New Roman" w:hAnsi="Times New Roman" w:eastAsia="仿宋_GB2312"/>
          <w:b/>
          <w:bCs/>
          <w:color w:val="auto"/>
          <w:kern w:val="0"/>
          <w:sz w:val="32"/>
          <w:szCs w:val="32"/>
        </w:rPr>
        <w:t>、冬春季修剪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40" w:firstLineChars="200"/>
        <w:jc w:val="left"/>
        <w:textAlignment w:val="auto"/>
        <w:outlineLvl w:val="9"/>
        <w:rPr>
          <w:rFonts w:ascii="Times New Roman" w:hAnsi="Times New Roman" w:eastAsia="仿宋_GB2312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参照柑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橘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红蜘蛛。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787" w:firstLineChars="245"/>
        <w:jc w:val="left"/>
        <w:textAlignment w:val="auto"/>
        <w:outlineLvl w:val="9"/>
        <w:rPr>
          <w:rFonts w:ascii="Times New Roman" w:hAnsi="Times New Roman" w:eastAsia="仿宋_GB2312"/>
          <w:b/>
          <w:bCs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/>
          <w:b/>
          <w:bCs/>
          <w:color w:val="auto"/>
          <w:kern w:val="0"/>
          <w:sz w:val="32"/>
          <w:szCs w:val="32"/>
        </w:rPr>
        <w:t>2</w:t>
      </w:r>
      <w:r>
        <w:rPr>
          <w:rFonts w:hint="eastAsia" w:ascii="Times New Roman" w:hAnsi="Times New Roman" w:eastAsia="仿宋_GB2312"/>
          <w:b/>
          <w:bCs/>
          <w:color w:val="auto"/>
          <w:kern w:val="0"/>
          <w:sz w:val="32"/>
          <w:szCs w:val="32"/>
        </w:rPr>
        <w:t>、黄板诱杀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40" w:firstLineChars="200"/>
        <w:jc w:val="left"/>
        <w:textAlignment w:val="auto"/>
        <w:outlineLvl w:val="9"/>
        <w:rPr>
          <w:rFonts w:ascii="Times New Roman" w:hAnsi="Times New Roman" w:eastAsia="仿宋_GB2312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主害代成虫羽化始期，亩用黄板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20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～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30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张，挂于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橘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树中下部。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提倡使用全降解黄板。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787" w:firstLineChars="245"/>
        <w:jc w:val="left"/>
        <w:textAlignment w:val="auto"/>
        <w:outlineLvl w:val="9"/>
        <w:rPr>
          <w:rFonts w:ascii="Times New Roman" w:hAnsi="Times New Roman" w:eastAsia="仿宋_GB2312"/>
          <w:b/>
          <w:bCs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/>
          <w:b/>
          <w:bCs/>
          <w:color w:val="auto"/>
          <w:kern w:val="0"/>
          <w:sz w:val="32"/>
          <w:szCs w:val="32"/>
        </w:rPr>
        <w:t>3</w:t>
      </w:r>
      <w:r>
        <w:rPr>
          <w:rFonts w:hint="eastAsia" w:ascii="Times New Roman" w:hAnsi="Times New Roman" w:eastAsia="仿宋_GB2312"/>
          <w:b/>
          <w:bCs/>
          <w:color w:val="auto"/>
          <w:kern w:val="0"/>
          <w:sz w:val="32"/>
          <w:szCs w:val="32"/>
        </w:rPr>
        <w:t>、化学防治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16" w:firstLineChars="200"/>
        <w:jc w:val="left"/>
        <w:textAlignment w:val="auto"/>
        <w:outlineLvl w:val="9"/>
        <w:rPr>
          <w:rFonts w:hint="eastAsia" w:ascii="Times New Roman" w:hAnsi="Times New Roman" w:eastAsia="仿宋_GB2312"/>
          <w:color w:val="auto"/>
          <w:spacing w:val="-6"/>
          <w:kern w:val="0"/>
          <w:sz w:val="32"/>
          <w:szCs w:val="32"/>
        </w:rPr>
      </w:pPr>
      <w:r>
        <w:rPr>
          <w:rFonts w:ascii="Times New Roman" w:hAnsi="Times New Roman" w:eastAsia="仿宋_GB2312"/>
          <w:color w:val="auto"/>
          <w:spacing w:val="-6"/>
          <w:kern w:val="0"/>
          <w:sz w:val="32"/>
          <w:szCs w:val="32"/>
        </w:rPr>
        <w:t>5%</w:t>
      </w:r>
      <w:r>
        <w:rPr>
          <w:rFonts w:hint="eastAsia" w:ascii="Times New Roman" w:hAnsi="Times New Roman" w:eastAsia="仿宋_GB2312"/>
          <w:color w:val="auto"/>
          <w:spacing w:val="-6"/>
          <w:kern w:val="0"/>
          <w:sz w:val="32"/>
          <w:szCs w:val="32"/>
        </w:rPr>
        <w:t>以上的叶片发现有若虫时，在第一代和第二代低龄若虫盛发期用药。可选啶虫脒、阿维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·</w:t>
      </w:r>
      <w:r>
        <w:rPr>
          <w:rFonts w:hint="eastAsia" w:ascii="Times New Roman" w:hAnsi="Times New Roman" w:eastAsia="仿宋_GB2312"/>
          <w:color w:val="auto"/>
          <w:spacing w:val="-6"/>
          <w:kern w:val="0"/>
          <w:sz w:val="32"/>
          <w:szCs w:val="32"/>
        </w:rPr>
        <w:t>噻嗪酮、阿维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·</w:t>
      </w:r>
      <w:r>
        <w:rPr>
          <w:rFonts w:hint="eastAsia" w:ascii="Times New Roman" w:hAnsi="Times New Roman" w:eastAsia="仿宋_GB2312"/>
          <w:color w:val="auto"/>
          <w:spacing w:val="-6"/>
          <w:kern w:val="0"/>
          <w:sz w:val="32"/>
          <w:szCs w:val="32"/>
        </w:rPr>
        <w:t>啶虫脒等药剂。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16" w:firstLineChars="200"/>
        <w:jc w:val="left"/>
        <w:textAlignment w:val="auto"/>
        <w:outlineLvl w:val="9"/>
        <w:rPr>
          <w:rFonts w:hint="eastAsia" w:ascii="Times New Roman" w:hAnsi="Times New Roman" w:eastAsia="仿宋_GB2312"/>
          <w:color w:val="auto"/>
          <w:spacing w:val="-6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16" w:firstLineChars="200"/>
        <w:jc w:val="left"/>
        <w:textAlignment w:val="auto"/>
        <w:outlineLvl w:val="9"/>
        <w:rPr>
          <w:rFonts w:hint="eastAsia" w:ascii="Times New Roman" w:hAnsi="Times New Roman" w:eastAsia="仿宋_GB2312"/>
          <w:color w:val="auto"/>
          <w:spacing w:val="-6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16" w:firstLineChars="200"/>
        <w:jc w:val="left"/>
        <w:textAlignment w:val="auto"/>
        <w:outlineLvl w:val="9"/>
        <w:rPr>
          <w:rFonts w:hint="eastAsia" w:ascii="Times New Roman" w:hAnsi="Times New Roman" w:eastAsia="仿宋_GB2312"/>
          <w:color w:val="auto"/>
          <w:spacing w:val="-6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16" w:firstLineChars="200"/>
        <w:jc w:val="left"/>
        <w:textAlignment w:val="auto"/>
        <w:outlineLvl w:val="9"/>
        <w:rPr>
          <w:rFonts w:hint="eastAsia" w:ascii="Times New Roman" w:hAnsi="Times New Roman" w:eastAsia="仿宋_GB2312"/>
          <w:color w:val="auto"/>
          <w:spacing w:val="-6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16" w:firstLineChars="200"/>
        <w:jc w:val="left"/>
        <w:textAlignment w:val="auto"/>
        <w:outlineLvl w:val="9"/>
        <w:rPr>
          <w:rFonts w:hint="eastAsia" w:ascii="Times New Roman" w:hAnsi="Times New Roman" w:eastAsia="仿宋_GB2312"/>
          <w:color w:val="auto"/>
          <w:spacing w:val="-6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16" w:firstLineChars="200"/>
        <w:jc w:val="left"/>
        <w:textAlignment w:val="auto"/>
        <w:outlineLvl w:val="9"/>
        <w:rPr>
          <w:rFonts w:hint="eastAsia" w:ascii="Times New Roman" w:hAnsi="Times New Roman" w:eastAsia="仿宋_GB2312"/>
          <w:color w:val="auto"/>
          <w:spacing w:val="-6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16" w:firstLineChars="200"/>
        <w:jc w:val="left"/>
        <w:textAlignment w:val="auto"/>
        <w:outlineLvl w:val="9"/>
        <w:rPr>
          <w:rFonts w:hint="eastAsia" w:ascii="Times New Roman" w:hAnsi="Times New Roman" w:eastAsia="仿宋_GB2312"/>
          <w:color w:val="auto"/>
          <w:spacing w:val="-6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16" w:firstLineChars="200"/>
        <w:jc w:val="left"/>
        <w:textAlignment w:val="auto"/>
        <w:outlineLvl w:val="9"/>
        <w:rPr>
          <w:rFonts w:hint="eastAsia" w:ascii="Times New Roman" w:hAnsi="Times New Roman" w:eastAsia="仿宋_GB2312"/>
          <w:color w:val="auto"/>
          <w:spacing w:val="-6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16" w:firstLineChars="200"/>
        <w:jc w:val="left"/>
        <w:textAlignment w:val="auto"/>
        <w:outlineLvl w:val="9"/>
        <w:rPr>
          <w:rFonts w:hint="eastAsia" w:ascii="Times New Roman" w:hAnsi="Times New Roman" w:eastAsia="仿宋_GB2312"/>
          <w:color w:val="auto"/>
          <w:spacing w:val="-6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16" w:firstLineChars="200"/>
        <w:jc w:val="left"/>
        <w:textAlignment w:val="auto"/>
        <w:outlineLvl w:val="9"/>
        <w:rPr>
          <w:rFonts w:hint="eastAsia" w:ascii="Times New Roman" w:hAnsi="Times New Roman" w:eastAsia="仿宋_GB2312"/>
          <w:color w:val="auto"/>
          <w:spacing w:val="-6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16" w:firstLineChars="200"/>
        <w:jc w:val="left"/>
        <w:textAlignment w:val="auto"/>
        <w:outlineLvl w:val="9"/>
        <w:rPr>
          <w:rFonts w:hint="eastAsia" w:ascii="Times New Roman" w:hAnsi="Times New Roman" w:eastAsia="仿宋_GB2312"/>
          <w:color w:val="auto"/>
          <w:spacing w:val="-6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16" w:firstLineChars="200"/>
        <w:jc w:val="left"/>
        <w:textAlignment w:val="auto"/>
        <w:outlineLvl w:val="9"/>
        <w:rPr>
          <w:rFonts w:hint="eastAsia" w:ascii="Times New Roman" w:hAnsi="Times New Roman" w:eastAsia="仿宋_GB2312"/>
          <w:color w:val="auto"/>
          <w:spacing w:val="-6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16" w:firstLineChars="200"/>
        <w:jc w:val="left"/>
        <w:textAlignment w:val="auto"/>
        <w:outlineLvl w:val="9"/>
        <w:rPr>
          <w:rFonts w:hint="eastAsia" w:ascii="Times New Roman" w:hAnsi="Times New Roman" w:eastAsia="仿宋_GB2312"/>
          <w:color w:val="auto"/>
          <w:spacing w:val="-6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16" w:firstLineChars="200"/>
        <w:jc w:val="left"/>
        <w:textAlignment w:val="auto"/>
        <w:outlineLvl w:val="9"/>
        <w:rPr>
          <w:rFonts w:hint="eastAsia" w:ascii="Times New Roman" w:hAnsi="Times New Roman" w:eastAsia="仿宋_GB2312"/>
          <w:color w:val="auto"/>
          <w:spacing w:val="-6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16" w:firstLineChars="200"/>
        <w:jc w:val="left"/>
        <w:textAlignment w:val="auto"/>
        <w:outlineLvl w:val="9"/>
        <w:rPr>
          <w:rFonts w:hint="eastAsia" w:ascii="Times New Roman" w:hAnsi="Times New Roman" w:eastAsia="仿宋_GB2312"/>
          <w:color w:val="auto"/>
          <w:spacing w:val="-6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16" w:firstLineChars="200"/>
        <w:jc w:val="left"/>
        <w:textAlignment w:val="auto"/>
        <w:outlineLvl w:val="9"/>
        <w:rPr>
          <w:rFonts w:hint="eastAsia" w:ascii="Times New Roman" w:hAnsi="Times New Roman" w:eastAsia="仿宋_GB2312"/>
          <w:color w:val="auto"/>
          <w:spacing w:val="-6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8" w:leftChars="56" w:right="0" w:rightChars="0" w:firstLine="616" w:firstLineChars="200"/>
        <w:jc w:val="left"/>
        <w:textAlignment w:val="auto"/>
        <w:outlineLvl w:val="9"/>
        <w:rPr>
          <w:rFonts w:hint="eastAsia" w:ascii="Times New Roman" w:hAnsi="Times New Roman" w:eastAsia="仿宋_GB2312"/>
          <w:color w:val="auto"/>
          <w:spacing w:val="-6"/>
          <w:kern w:val="0"/>
          <w:sz w:val="32"/>
          <w:szCs w:val="32"/>
        </w:rPr>
      </w:pPr>
    </w:p>
    <w:p>
      <w:pPr>
        <w:ind w:firstLine="0" w:firstLineChars="0"/>
        <w:rPr>
          <w:rFonts w:hint="eastAsia"/>
          <w:color w:val="auto"/>
          <w:kern w:val="0"/>
          <w:szCs w:val="32"/>
        </w:rPr>
      </w:pPr>
    </w:p>
    <w:p>
      <w:pPr>
        <w:ind w:firstLine="0" w:firstLineChars="0"/>
        <w:rPr>
          <w:rFonts w:hint="eastAsia"/>
          <w:color w:val="auto"/>
          <w:kern w:val="0"/>
          <w:szCs w:val="32"/>
        </w:rPr>
      </w:pPr>
    </w:p>
    <w:p>
      <w:pPr>
        <w:ind w:firstLine="0" w:firstLineChars="0"/>
        <w:rPr>
          <w:rFonts w:hint="eastAsia"/>
          <w:color w:val="auto"/>
          <w:kern w:val="0"/>
          <w:szCs w:val="32"/>
        </w:rPr>
      </w:pPr>
    </w:p>
    <w:p>
      <w:pPr>
        <w:ind w:firstLine="0" w:firstLineChars="0"/>
        <w:rPr>
          <w:rFonts w:hint="eastAsia"/>
          <w:color w:val="auto"/>
          <w:kern w:val="0"/>
          <w:szCs w:val="32"/>
        </w:rPr>
      </w:pPr>
    </w:p>
    <w:p>
      <w:pPr>
        <w:ind w:firstLine="0" w:firstLineChars="0"/>
        <w:rPr>
          <w:rFonts w:hint="eastAsia"/>
          <w:color w:val="auto"/>
          <w:kern w:val="0"/>
          <w:szCs w:val="32"/>
        </w:rPr>
      </w:pPr>
    </w:p>
    <w:p>
      <w:pPr>
        <w:ind w:firstLine="0" w:firstLineChars="0"/>
        <w:rPr>
          <w:rFonts w:hint="eastAsia"/>
          <w:color w:val="auto"/>
          <w:kern w:val="0"/>
          <w:szCs w:val="32"/>
        </w:rPr>
      </w:pPr>
    </w:p>
    <w:p>
      <w:pPr>
        <w:ind w:firstLine="0" w:firstLineChars="0"/>
        <w:rPr>
          <w:rFonts w:hint="eastAsia"/>
          <w:color w:val="auto"/>
          <w:kern w:val="0"/>
          <w:szCs w:val="32"/>
        </w:rPr>
      </w:pPr>
    </w:p>
    <w:p>
      <w:pPr>
        <w:ind w:firstLine="0" w:firstLineChars="0"/>
        <w:rPr>
          <w:rFonts w:hint="eastAsia"/>
          <w:color w:val="auto"/>
          <w:kern w:val="0"/>
          <w:szCs w:val="32"/>
        </w:rPr>
      </w:pPr>
    </w:p>
    <w:p>
      <w:pPr>
        <w:ind w:firstLine="0" w:firstLineChars="0"/>
        <w:rPr>
          <w:rFonts w:hint="eastAsia"/>
          <w:color w:val="auto"/>
          <w:kern w:val="0"/>
          <w:szCs w:val="32"/>
        </w:rPr>
      </w:pPr>
    </w:p>
    <w:p>
      <w:pPr>
        <w:spacing w:line="100" w:lineRule="exact"/>
        <w:ind w:firstLine="0" w:firstLineChars="0"/>
        <w:rPr>
          <w:rFonts w:hint="eastAsia"/>
          <w:color w:val="auto"/>
          <w:szCs w:val="32"/>
        </w:rPr>
      </w:pPr>
    </w:p>
    <w:p>
      <w:pPr>
        <w:spacing w:line="100" w:lineRule="exact"/>
        <w:ind w:firstLine="0" w:firstLineChars="0"/>
        <w:rPr>
          <w:rFonts w:hint="eastAsia"/>
          <w:color w:val="auto"/>
          <w:szCs w:val="32"/>
        </w:rPr>
      </w:pPr>
    </w:p>
    <w:p>
      <w:pPr>
        <w:spacing w:line="100" w:lineRule="exact"/>
        <w:ind w:firstLine="0" w:firstLineChars="0"/>
        <w:rPr>
          <w:rFonts w:hint="eastAsia"/>
          <w:color w:val="auto"/>
          <w:szCs w:val="32"/>
        </w:rPr>
      </w:pPr>
    </w:p>
    <w:p>
      <w:pPr>
        <w:spacing w:line="100" w:lineRule="exact"/>
        <w:ind w:firstLine="0" w:firstLineChars="0"/>
        <w:rPr>
          <w:rFonts w:hint="eastAsia"/>
          <w:color w:val="auto"/>
          <w:szCs w:val="32"/>
        </w:rPr>
      </w:pPr>
    </w:p>
    <w:p>
      <w:pPr>
        <w:spacing w:line="100" w:lineRule="exact"/>
        <w:ind w:firstLine="0" w:firstLineChars="0"/>
        <w:rPr>
          <w:color w:val="auto"/>
          <w:szCs w:val="32"/>
        </w:rPr>
      </w:pPr>
    </w:p>
    <w:p>
      <w:pPr>
        <w:spacing w:line="100" w:lineRule="exact"/>
        <w:ind w:firstLine="0" w:firstLineChars="0"/>
        <w:rPr>
          <w:color w:val="auto"/>
          <w:szCs w:val="32"/>
        </w:rPr>
      </w:pPr>
    </w:p>
    <w:p>
      <w:pPr>
        <w:spacing w:line="580" w:lineRule="exact"/>
        <w:ind w:firstLine="280" w:firstLineChars="100"/>
        <w:rPr>
          <w:rFonts w:hint="eastAsia" w:eastAsia="方正小标宋简体"/>
          <w:color w:val="auto"/>
          <w:sz w:val="28"/>
          <w:szCs w:val="28"/>
        </w:rPr>
      </w:pPr>
      <w:r>
        <w:rPr>
          <w:rFonts w:hint="eastAsia" w:eastAsia="黑体"/>
          <w:color w:val="auto"/>
          <w:sz w:val="28"/>
          <w:szCs w:val="28"/>
        </w:rPr>
        <w:t>信息公开选项：</w:t>
      </w:r>
      <w:r>
        <w:rPr>
          <w:rFonts w:hint="eastAsia" w:eastAsia="方正小标宋简体"/>
          <w:color w:val="auto"/>
          <w:sz w:val="28"/>
          <w:szCs w:val="28"/>
        </w:rPr>
        <w:t>公开</w:t>
      </w:r>
    </w:p>
    <w:p>
      <w:pPr>
        <w:spacing w:line="580" w:lineRule="exact"/>
        <w:ind w:firstLine="320" w:firstLineChars="100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pacing w:val="20"/>
          <w:sz w:val="28"/>
          <w:szCs w:val="28"/>
        </w:rPr>
        <w:pict>
          <v:line id="_x0000_s2051" o:spid="_x0000_s2051" o:spt="20" style="position:absolute;left:0pt;margin-left:0pt;margin-top:2.95pt;height:0pt;width:442.2pt;z-index:251661312;mso-width-relative:page;mso-height-relative:page;" filled="f" coordsize="21600,21600">
            <v:path arrowok="t"/>
            <v:fill on="f" focussize="0,0"/>
            <v:stroke weight="0.25pt"/>
            <v:imagedata o:title=""/>
            <o:lock v:ext="edit"/>
          </v:line>
        </w:pict>
      </w:r>
      <w:r>
        <w:rPr>
          <w:rFonts w:hint="eastAsia" w:ascii="仿宋_GB2312" w:hAnsi="仿宋_GB2312" w:eastAsia="仿宋_GB2312" w:cs="仿宋_GB2312"/>
          <w:color w:val="auto"/>
          <w:spacing w:val="20"/>
          <w:sz w:val="28"/>
          <w:szCs w:val="28"/>
        </w:rPr>
        <w:pict>
          <v:line id="_x0000_s2052" o:spid="_x0000_s2052" o:spt="20" style="position:absolute;left:0pt;margin-left:0pt;margin-top:32.8pt;height:0pt;width:442.2pt;z-index:251660288;mso-width-relative:page;mso-height-relative:page;" filled="f" coordsize="21600,21600">
            <v:path arrowok="t"/>
            <v:fill on="f" focussize="0,0"/>
            <v:stroke weight="0.35pt"/>
            <v:imagedata o:title=""/>
            <o:lock v:ext="edit"/>
          </v:line>
        </w:pict>
      </w:r>
      <w:r>
        <w:rPr>
          <w:rFonts w:hint="eastAsia" w:ascii="仿宋_GB2312" w:hAnsi="仿宋_GB2312" w:eastAsia="仿宋_GB2312" w:cs="仿宋_GB2312"/>
          <w:color w:val="auto"/>
          <w:spacing w:val="20"/>
          <w:sz w:val="28"/>
          <w:szCs w:val="28"/>
        </w:rPr>
        <w:t>湖南省植保植检站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                    20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日印发</w:t>
      </w:r>
    </w:p>
    <w:sectPr>
      <w:headerReference r:id="rId3" w:type="default"/>
      <w:footerReference r:id="rId4" w:type="default"/>
      <w:pgSz w:w="11906" w:h="16838"/>
      <w:pgMar w:top="1871" w:right="1701" w:bottom="1701" w:left="1701" w:header="851" w:footer="1247" w:gutter="0"/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rPr>
                    <w:sz w:val="28"/>
                    <w:szCs w:val="28"/>
                  </w:rPr>
                </w:pPr>
                <w:r>
                  <w:rPr>
                    <w:rFonts w:hint="eastAsia" w:asciiTheme="minorEastAsia" w:hAnsiTheme="minorEastAsia" w:eastAsiaTheme="minorEastAsia" w:cstheme="minorEastAsia"/>
                    <w:sz w:val="24"/>
                    <w:szCs w:val="24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4"/>
                    <w:szCs w:val="24"/>
                  </w:rPr>
                  <w:fldChar w:fldCharType="separate"/>
                </w:r>
                <w:r>
                  <w:rPr>
                    <w:rFonts w:hint="eastAsia" w:asciiTheme="minorEastAsia" w:hAnsiTheme="minorEastAsia" w:eastAsiaTheme="minorEastAsia" w:cstheme="minorEastAsia"/>
                    <w:sz w:val="24"/>
                    <w:szCs w:val="24"/>
                  </w:rPr>
                  <w:t>1</w:t>
                </w:r>
                <w:r>
                  <w:rPr>
                    <w:rFonts w:hint="eastAsia" w:asciiTheme="minorEastAsia" w:hAnsiTheme="minorEastAsia" w:eastAsiaTheme="minorEastAsia" w:cstheme="minorEastAsia"/>
                    <w:sz w:val="24"/>
                    <w:szCs w:val="24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NotTrackMoves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E65F3"/>
    <w:rsid w:val="0000003B"/>
    <w:rsid w:val="00015F2F"/>
    <w:rsid w:val="000211F9"/>
    <w:rsid w:val="00022C21"/>
    <w:rsid w:val="00024CC9"/>
    <w:rsid w:val="000349CA"/>
    <w:rsid w:val="0004418E"/>
    <w:rsid w:val="000B04CA"/>
    <w:rsid w:val="000E622C"/>
    <w:rsid w:val="00104A9A"/>
    <w:rsid w:val="001234D8"/>
    <w:rsid w:val="001306A9"/>
    <w:rsid w:val="00141D18"/>
    <w:rsid w:val="00187806"/>
    <w:rsid w:val="001B59A6"/>
    <w:rsid w:val="001B7FF2"/>
    <w:rsid w:val="001D5DF0"/>
    <w:rsid w:val="001E417C"/>
    <w:rsid w:val="00222920"/>
    <w:rsid w:val="0026001C"/>
    <w:rsid w:val="00267E9E"/>
    <w:rsid w:val="002762BC"/>
    <w:rsid w:val="002E7E4D"/>
    <w:rsid w:val="003247B2"/>
    <w:rsid w:val="003404DC"/>
    <w:rsid w:val="00342F4C"/>
    <w:rsid w:val="00351F0E"/>
    <w:rsid w:val="0035608A"/>
    <w:rsid w:val="00360A32"/>
    <w:rsid w:val="00372342"/>
    <w:rsid w:val="003760F7"/>
    <w:rsid w:val="00380B09"/>
    <w:rsid w:val="00387E25"/>
    <w:rsid w:val="003B0CC8"/>
    <w:rsid w:val="00405034"/>
    <w:rsid w:val="00406C5D"/>
    <w:rsid w:val="00456143"/>
    <w:rsid w:val="004810F3"/>
    <w:rsid w:val="00487B26"/>
    <w:rsid w:val="0049250F"/>
    <w:rsid w:val="004A1080"/>
    <w:rsid w:val="004D5596"/>
    <w:rsid w:val="004E0AC4"/>
    <w:rsid w:val="00563168"/>
    <w:rsid w:val="00571ED2"/>
    <w:rsid w:val="00574BF5"/>
    <w:rsid w:val="00590906"/>
    <w:rsid w:val="00593AC0"/>
    <w:rsid w:val="005C125F"/>
    <w:rsid w:val="005D5E24"/>
    <w:rsid w:val="005E7D9A"/>
    <w:rsid w:val="005F7399"/>
    <w:rsid w:val="00605234"/>
    <w:rsid w:val="00620C64"/>
    <w:rsid w:val="00647C96"/>
    <w:rsid w:val="00670D70"/>
    <w:rsid w:val="00682671"/>
    <w:rsid w:val="00685832"/>
    <w:rsid w:val="006923F1"/>
    <w:rsid w:val="006A5F05"/>
    <w:rsid w:val="006F5D62"/>
    <w:rsid w:val="00742C63"/>
    <w:rsid w:val="007648F1"/>
    <w:rsid w:val="007C474E"/>
    <w:rsid w:val="007D093A"/>
    <w:rsid w:val="008124DA"/>
    <w:rsid w:val="00815ED7"/>
    <w:rsid w:val="008210C6"/>
    <w:rsid w:val="00842016"/>
    <w:rsid w:val="00843FD3"/>
    <w:rsid w:val="00851820"/>
    <w:rsid w:val="00861819"/>
    <w:rsid w:val="00871F4F"/>
    <w:rsid w:val="008758FA"/>
    <w:rsid w:val="00885B71"/>
    <w:rsid w:val="008965F1"/>
    <w:rsid w:val="008F644A"/>
    <w:rsid w:val="00916FC2"/>
    <w:rsid w:val="00934F4D"/>
    <w:rsid w:val="00936CE3"/>
    <w:rsid w:val="009440BD"/>
    <w:rsid w:val="00944EAB"/>
    <w:rsid w:val="009471D0"/>
    <w:rsid w:val="00955E9A"/>
    <w:rsid w:val="009A6736"/>
    <w:rsid w:val="009D1027"/>
    <w:rsid w:val="009E08D3"/>
    <w:rsid w:val="00A14281"/>
    <w:rsid w:val="00A530F2"/>
    <w:rsid w:val="00A648A9"/>
    <w:rsid w:val="00AF14BC"/>
    <w:rsid w:val="00B13599"/>
    <w:rsid w:val="00B239A0"/>
    <w:rsid w:val="00B61DF8"/>
    <w:rsid w:val="00B7155E"/>
    <w:rsid w:val="00B71C2C"/>
    <w:rsid w:val="00BA161F"/>
    <w:rsid w:val="00BC0B43"/>
    <w:rsid w:val="00BE0ACC"/>
    <w:rsid w:val="00BE21A8"/>
    <w:rsid w:val="00BE2CF2"/>
    <w:rsid w:val="00BE3B5D"/>
    <w:rsid w:val="00BF06F4"/>
    <w:rsid w:val="00C02FBB"/>
    <w:rsid w:val="00C671AE"/>
    <w:rsid w:val="00C94DC9"/>
    <w:rsid w:val="00CA1C75"/>
    <w:rsid w:val="00CA4F39"/>
    <w:rsid w:val="00CB3AFC"/>
    <w:rsid w:val="00CB3EC2"/>
    <w:rsid w:val="00CC27C2"/>
    <w:rsid w:val="00CD3CFC"/>
    <w:rsid w:val="00CE1B14"/>
    <w:rsid w:val="00D16787"/>
    <w:rsid w:val="00D378B0"/>
    <w:rsid w:val="00D47DC5"/>
    <w:rsid w:val="00D50290"/>
    <w:rsid w:val="00D91E04"/>
    <w:rsid w:val="00DB7805"/>
    <w:rsid w:val="00DE65F3"/>
    <w:rsid w:val="00E02420"/>
    <w:rsid w:val="00E11D44"/>
    <w:rsid w:val="00E12E7C"/>
    <w:rsid w:val="00E64A46"/>
    <w:rsid w:val="00EA0E8F"/>
    <w:rsid w:val="00EA2103"/>
    <w:rsid w:val="00ED7D91"/>
    <w:rsid w:val="00F1000E"/>
    <w:rsid w:val="00F15593"/>
    <w:rsid w:val="00F3114D"/>
    <w:rsid w:val="00F3529A"/>
    <w:rsid w:val="00F40948"/>
    <w:rsid w:val="00F43657"/>
    <w:rsid w:val="00F70733"/>
    <w:rsid w:val="00FA257B"/>
    <w:rsid w:val="00FB4DB1"/>
    <w:rsid w:val="00FB6028"/>
    <w:rsid w:val="00FC0CE5"/>
    <w:rsid w:val="00FD161B"/>
    <w:rsid w:val="00FE70D2"/>
    <w:rsid w:val="01536F6C"/>
    <w:rsid w:val="01720276"/>
    <w:rsid w:val="01A413CF"/>
    <w:rsid w:val="01BD4A06"/>
    <w:rsid w:val="01EB0283"/>
    <w:rsid w:val="02095D29"/>
    <w:rsid w:val="03254025"/>
    <w:rsid w:val="0370767A"/>
    <w:rsid w:val="04AD133C"/>
    <w:rsid w:val="051A7D4E"/>
    <w:rsid w:val="05341B42"/>
    <w:rsid w:val="05EF7A93"/>
    <w:rsid w:val="05F22388"/>
    <w:rsid w:val="060209A8"/>
    <w:rsid w:val="06467FB7"/>
    <w:rsid w:val="07165990"/>
    <w:rsid w:val="07277F98"/>
    <w:rsid w:val="07356280"/>
    <w:rsid w:val="07CC5758"/>
    <w:rsid w:val="09784BBC"/>
    <w:rsid w:val="0A5A2E6B"/>
    <w:rsid w:val="0A8C7446"/>
    <w:rsid w:val="0B6B686D"/>
    <w:rsid w:val="0C7C0272"/>
    <w:rsid w:val="0CE35319"/>
    <w:rsid w:val="0D063D47"/>
    <w:rsid w:val="0DDC60A4"/>
    <w:rsid w:val="0E0C6883"/>
    <w:rsid w:val="0F422ECB"/>
    <w:rsid w:val="0F4B7871"/>
    <w:rsid w:val="0FC005A4"/>
    <w:rsid w:val="10211FEB"/>
    <w:rsid w:val="10711064"/>
    <w:rsid w:val="11070075"/>
    <w:rsid w:val="111C4B53"/>
    <w:rsid w:val="11622325"/>
    <w:rsid w:val="118C7961"/>
    <w:rsid w:val="11BA79A9"/>
    <w:rsid w:val="11E63962"/>
    <w:rsid w:val="12352FA1"/>
    <w:rsid w:val="12842FC5"/>
    <w:rsid w:val="12CE64F4"/>
    <w:rsid w:val="13740A9C"/>
    <w:rsid w:val="151345BD"/>
    <w:rsid w:val="15246112"/>
    <w:rsid w:val="158464A6"/>
    <w:rsid w:val="15B477D8"/>
    <w:rsid w:val="15BE0721"/>
    <w:rsid w:val="15C22DB2"/>
    <w:rsid w:val="166F5A42"/>
    <w:rsid w:val="167132D4"/>
    <w:rsid w:val="16A43EFF"/>
    <w:rsid w:val="17633EE3"/>
    <w:rsid w:val="18047EE5"/>
    <w:rsid w:val="185A4BF8"/>
    <w:rsid w:val="18DE1895"/>
    <w:rsid w:val="18F13A69"/>
    <w:rsid w:val="1A2D6A39"/>
    <w:rsid w:val="1A39048D"/>
    <w:rsid w:val="1B3B5968"/>
    <w:rsid w:val="1BE13A8C"/>
    <w:rsid w:val="1C200D33"/>
    <w:rsid w:val="1C2C489B"/>
    <w:rsid w:val="1E4358E3"/>
    <w:rsid w:val="1F8D3AD5"/>
    <w:rsid w:val="1FCC12D4"/>
    <w:rsid w:val="207959AB"/>
    <w:rsid w:val="20F15A5E"/>
    <w:rsid w:val="212B5823"/>
    <w:rsid w:val="215B7BE5"/>
    <w:rsid w:val="21710061"/>
    <w:rsid w:val="21AC2F59"/>
    <w:rsid w:val="21C92589"/>
    <w:rsid w:val="21F22E8F"/>
    <w:rsid w:val="22316EAF"/>
    <w:rsid w:val="226032B2"/>
    <w:rsid w:val="23025FBF"/>
    <w:rsid w:val="23214F2F"/>
    <w:rsid w:val="236B7D1E"/>
    <w:rsid w:val="23DD220F"/>
    <w:rsid w:val="23EA00C6"/>
    <w:rsid w:val="24091A67"/>
    <w:rsid w:val="24A81961"/>
    <w:rsid w:val="254530DA"/>
    <w:rsid w:val="258405E6"/>
    <w:rsid w:val="25883EDF"/>
    <w:rsid w:val="25A75016"/>
    <w:rsid w:val="25B474B7"/>
    <w:rsid w:val="2619106C"/>
    <w:rsid w:val="26E41E3E"/>
    <w:rsid w:val="27053852"/>
    <w:rsid w:val="28CA0568"/>
    <w:rsid w:val="291D3B13"/>
    <w:rsid w:val="291E5D75"/>
    <w:rsid w:val="294E25D9"/>
    <w:rsid w:val="299A1BAE"/>
    <w:rsid w:val="2A814580"/>
    <w:rsid w:val="2B0E1132"/>
    <w:rsid w:val="2B2C5F8C"/>
    <w:rsid w:val="2B53192E"/>
    <w:rsid w:val="2C1A7BA1"/>
    <w:rsid w:val="2C30612D"/>
    <w:rsid w:val="2C560296"/>
    <w:rsid w:val="2D8F1430"/>
    <w:rsid w:val="2DD973AB"/>
    <w:rsid w:val="2DDC37B7"/>
    <w:rsid w:val="2EA22D92"/>
    <w:rsid w:val="2F8772EC"/>
    <w:rsid w:val="2F8E56B0"/>
    <w:rsid w:val="2FAF6A6E"/>
    <w:rsid w:val="2FBA6C6E"/>
    <w:rsid w:val="30240DCF"/>
    <w:rsid w:val="303C5F41"/>
    <w:rsid w:val="30D26F9F"/>
    <w:rsid w:val="31165E58"/>
    <w:rsid w:val="316732EA"/>
    <w:rsid w:val="31C44387"/>
    <w:rsid w:val="32147A30"/>
    <w:rsid w:val="33260E74"/>
    <w:rsid w:val="3350158B"/>
    <w:rsid w:val="33F0259B"/>
    <w:rsid w:val="34416649"/>
    <w:rsid w:val="349D3856"/>
    <w:rsid w:val="350F2092"/>
    <w:rsid w:val="35131C69"/>
    <w:rsid w:val="3536204A"/>
    <w:rsid w:val="36295D19"/>
    <w:rsid w:val="371A5BBD"/>
    <w:rsid w:val="380F72E2"/>
    <w:rsid w:val="385A4C16"/>
    <w:rsid w:val="38942513"/>
    <w:rsid w:val="38AA256A"/>
    <w:rsid w:val="38C23FE4"/>
    <w:rsid w:val="38EE2A59"/>
    <w:rsid w:val="39CC6A3C"/>
    <w:rsid w:val="39D20180"/>
    <w:rsid w:val="3A036903"/>
    <w:rsid w:val="3A567943"/>
    <w:rsid w:val="3AED415D"/>
    <w:rsid w:val="3B73235B"/>
    <w:rsid w:val="3C6D0659"/>
    <w:rsid w:val="3C7A3E00"/>
    <w:rsid w:val="3D10590F"/>
    <w:rsid w:val="3D4620AE"/>
    <w:rsid w:val="3D5B77EE"/>
    <w:rsid w:val="3E1468DC"/>
    <w:rsid w:val="3E494258"/>
    <w:rsid w:val="3F01241E"/>
    <w:rsid w:val="3F2B4163"/>
    <w:rsid w:val="3F2D4A98"/>
    <w:rsid w:val="3F506783"/>
    <w:rsid w:val="3F792947"/>
    <w:rsid w:val="3FA73373"/>
    <w:rsid w:val="3FEB009D"/>
    <w:rsid w:val="40581F0E"/>
    <w:rsid w:val="41CD54C6"/>
    <w:rsid w:val="41CE2704"/>
    <w:rsid w:val="42720F48"/>
    <w:rsid w:val="43515F96"/>
    <w:rsid w:val="43D96605"/>
    <w:rsid w:val="455E6553"/>
    <w:rsid w:val="45986BB5"/>
    <w:rsid w:val="45F07804"/>
    <w:rsid w:val="46061365"/>
    <w:rsid w:val="4641524F"/>
    <w:rsid w:val="479D3BDE"/>
    <w:rsid w:val="47A85D5E"/>
    <w:rsid w:val="47DF7A03"/>
    <w:rsid w:val="48D64431"/>
    <w:rsid w:val="48DB4D7E"/>
    <w:rsid w:val="48E91FC6"/>
    <w:rsid w:val="49322E55"/>
    <w:rsid w:val="49D16E3B"/>
    <w:rsid w:val="49E17CAA"/>
    <w:rsid w:val="49F36A36"/>
    <w:rsid w:val="4A9B0028"/>
    <w:rsid w:val="4B3D4F82"/>
    <w:rsid w:val="4BCA4E0C"/>
    <w:rsid w:val="4BD643D8"/>
    <w:rsid w:val="4C4A5912"/>
    <w:rsid w:val="4CE64505"/>
    <w:rsid w:val="4D295A49"/>
    <w:rsid w:val="4D714F53"/>
    <w:rsid w:val="4D93283D"/>
    <w:rsid w:val="4D9D6761"/>
    <w:rsid w:val="4E3534BE"/>
    <w:rsid w:val="4E512FBC"/>
    <w:rsid w:val="4E6F1F98"/>
    <w:rsid w:val="4ED437C9"/>
    <w:rsid w:val="4EE12911"/>
    <w:rsid w:val="4F470BC0"/>
    <w:rsid w:val="4F541E24"/>
    <w:rsid w:val="4FB33BE0"/>
    <w:rsid w:val="4FC57A07"/>
    <w:rsid w:val="4FFF600A"/>
    <w:rsid w:val="50821798"/>
    <w:rsid w:val="50943670"/>
    <w:rsid w:val="51AF5876"/>
    <w:rsid w:val="51D93147"/>
    <w:rsid w:val="52675A0D"/>
    <w:rsid w:val="52B45022"/>
    <w:rsid w:val="52BA4A2F"/>
    <w:rsid w:val="52BF0676"/>
    <w:rsid w:val="52E12CDF"/>
    <w:rsid w:val="533560EA"/>
    <w:rsid w:val="54A70450"/>
    <w:rsid w:val="54DA705E"/>
    <w:rsid w:val="5574424B"/>
    <w:rsid w:val="55B03E1D"/>
    <w:rsid w:val="55D0085E"/>
    <w:rsid w:val="55F24E78"/>
    <w:rsid w:val="56EA7BF5"/>
    <w:rsid w:val="57104640"/>
    <w:rsid w:val="57265EE2"/>
    <w:rsid w:val="573C2C82"/>
    <w:rsid w:val="5805562F"/>
    <w:rsid w:val="58195661"/>
    <w:rsid w:val="584F2E16"/>
    <w:rsid w:val="58516618"/>
    <w:rsid w:val="58C10D97"/>
    <w:rsid w:val="59104B47"/>
    <w:rsid w:val="59D81D3B"/>
    <w:rsid w:val="5A3E626C"/>
    <w:rsid w:val="5A7C1BE0"/>
    <w:rsid w:val="5B9C0DE3"/>
    <w:rsid w:val="5C2C289E"/>
    <w:rsid w:val="5E101789"/>
    <w:rsid w:val="5F1C5BBA"/>
    <w:rsid w:val="5F45118D"/>
    <w:rsid w:val="5F4D3018"/>
    <w:rsid w:val="5FDC7A7C"/>
    <w:rsid w:val="60187581"/>
    <w:rsid w:val="60222232"/>
    <w:rsid w:val="608603C7"/>
    <w:rsid w:val="60AC54D6"/>
    <w:rsid w:val="6104155D"/>
    <w:rsid w:val="61186D8B"/>
    <w:rsid w:val="61451991"/>
    <w:rsid w:val="615777CD"/>
    <w:rsid w:val="62181998"/>
    <w:rsid w:val="622C26EA"/>
    <w:rsid w:val="634A7461"/>
    <w:rsid w:val="63862806"/>
    <w:rsid w:val="63B879BE"/>
    <w:rsid w:val="64212F20"/>
    <w:rsid w:val="646C3095"/>
    <w:rsid w:val="64986980"/>
    <w:rsid w:val="64B46D5A"/>
    <w:rsid w:val="65761031"/>
    <w:rsid w:val="65FE52AB"/>
    <w:rsid w:val="66220F9B"/>
    <w:rsid w:val="662655B4"/>
    <w:rsid w:val="66B37694"/>
    <w:rsid w:val="66BE5E6E"/>
    <w:rsid w:val="67064A10"/>
    <w:rsid w:val="67520627"/>
    <w:rsid w:val="67601DE4"/>
    <w:rsid w:val="67B547E9"/>
    <w:rsid w:val="68142A07"/>
    <w:rsid w:val="687942DC"/>
    <w:rsid w:val="68A26CB4"/>
    <w:rsid w:val="68EE4CED"/>
    <w:rsid w:val="69017F34"/>
    <w:rsid w:val="691A777D"/>
    <w:rsid w:val="69486166"/>
    <w:rsid w:val="69CA75FC"/>
    <w:rsid w:val="6A321E1C"/>
    <w:rsid w:val="6A577C41"/>
    <w:rsid w:val="6A6F3773"/>
    <w:rsid w:val="6B2E5481"/>
    <w:rsid w:val="6B7D6BE0"/>
    <w:rsid w:val="6BB058FF"/>
    <w:rsid w:val="6BE934C7"/>
    <w:rsid w:val="6C840FCF"/>
    <w:rsid w:val="6C954324"/>
    <w:rsid w:val="6DA10331"/>
    <w:rsid w:val="6DB41985"/>
    <w:rsid w:val="6DB7423A"/>
    <w:rsid w:val="6DFC45EE"/>
    <w:rsid w:val="6E4715C1"/>
    <w:rsid w:val="6E8D03BF"/>
    <w:rsid w:val="6E9D6D53"/>
    <w:rsid w:val="6E9E0C5F"/>
    <w:rsid w:val="6EC85F24"/>
    <w:rsid w:val="6F6F2061"/>
    <w:rsid w:val="6F881952"/>
    <w:rsid w:val="6FFA2223"/>
    <w:rsid w:val="70B06317"/>
    <w:rsid w:val="70BF6286"/>
    <w:rsid w:val="71556085"/>
    <w:rsid w:val="72762F3E"/>
    <w:rsid w:val="727832B7"/>
    <w:rsid w:val="738576F5"/>
    <w:rsid w:val="73A72705"/>
    <w:rsid w:val="73AC0942"/>
    <w:rsid w:val="73EF39D8"/>
    <w:rsid w:val="742E00A1"/>
    <w:rsid w:val="749F790D"/>
    <w:rsid w:val="74B34B78"/>
    <w:rsid w:val="74C13A9A"/>
    <w:rsid w:val="753A65F8"/>
    <w:rsid w:val="754F371C"/>
    <w:rsid w:val="75551E94"/>
    <w:rsid w:val="761177A8"/>
    <w:rsid w:val="767755D8"/>
    <w:rsid w:val="76F15FC0"/>
    <w:rsid w:val="771522E9"/>
    <w:rsid w:val="782D06B7"/>
    <w:rsid w:val="787C0C8C"/>
    <w:rsid w:val="78923112"/>
    <w:rsid w:val="78C86CD9"/>
    <w:rsid w:val="78D00040"/>
    <w:rsid w:val="79B32F55"/>
    <w:rsid w:val="7A2C0E03"/>
    <w:rsid w:val="7A2C21BE"/>
    <w:rsid w:val="7A696C1E"/>
    <w:rsid w:val="7A6D20CC"/>
    <w:rsid w:val="7AA27612"/>
    <w:rsid w:val="7BCF072A"/>
    <w:rsid w:val="7BFF08CD"/>
    <w:rsid w:val="7D20338F"/>
    <w:rsid w:val="7D3965B3"/>
    <w:rsid w:val="7DE76384"/>
    <w:rsid w:val="7E065793"/>
    <w:rsid w:val="7E8E787C"/>
    <w:rsid w:val="7F0C4AC0"/>
    <w:rsid w:val="7FBD42A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/>
    <w:lsdException w:qFormat="1" w:unhideWhenUsed="0" w:uiPriority="99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qFormat="1" w:unhideWhenUsed="0" w:uiPriority="99" w:semiHidden="0" w:name="HTML Acronym"/>
    <w:lsdException w:uiPriority="99" w:name="HTML Address" w:locked="1"/>
    <w:lsdException w:qFormat="1" w:unhideWhenUsed="0" w:uiPriority="99" w:semiHidden="0" w:name="HTML Cite"/>
    <w:lsdException w:qFormat="1" w:unhideWhenUsed="0" w:uiPriority="99" w:semiHidden="0" w:name="HTML Code"/>
    <w:lsdException w:qFormat="1" w:unhideWhenUsed="0" w:uiPriority="99" w:semiHidden="0" w:name="HTML Definition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qFormat="1" w:unhideWhenUsed="0" w:uiPriority="99" w:semiHidden="0" w:name="HTML Variable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9"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2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semiHidden/>
    <w:unhideWhenUsed/>
    <w:qFormat/>
    <w:locked/>
    <w:uiPriority w:val="99"/>
  </w:style>
  <w:style w:type="character" w:styleId="10">
    <w:name w:val="FollowedHyperlink"/>
    <w:basedOn w:val="8"/>
    <w:qFormat/>
    <w:uiPriority w:val="99"/>
    <w:rPr>
      <w:rFonts w:cs="Times New Roman"/>
      <w:color w:val="555555"/>
      <w:u w:val="none"/>
    </w:rPr>
  </w:style>
  <w:style w:type="character" w:styleId="11">
    <w:name w:val="Emphasis"/>
    <w:basedOn w:val="8"/>
    <w:qFormat/>
    <w:uiPriority w:val="99"/>
    <w:rPr>
      <w:rFonts w:cs="Times New Roman"/>
    </w:rPr>
  </w:style>
  <w:style w:type="character" w:styleId="12">
    <w:name w:val="HTML Definition"/>
    <w:basedOn w:val="8"/>
    <w:qFormat/>
    <w:uiPriority w:val="99"/>
    <w:rPr>
      <w:rFonts w:cs="Times New Roman"/>
    </w:rPr>
  </w:style>
  <w:style w:type="character" w:styleId="13">
    <w:name w:val="HTML Acronym"/>
    <w:basedOn w:val="8"/>
    <w:qFormat/>
    <w:uiPriority w:val="99"/>
    <w:rPr>
      <w:rFonts w:cs="Times New Roman"/>
    </w:rPr>
  </w:style>
  <w:style w:type="character" w:styleId="14">
    <w:name w:val="HTML Variable"/>
    <w:basedOn w:val="8"/>
    <w:qFormat/>
    <w:uiPriority w:val="99"/>
    <w:rPr>
      <w:rFonts w:cs="Times New Roman"/>
    </w:rPr>
  </w:style>
  <w:style w:type="character" w:styleId="15">
    <w:name w:val="Hyperlink"/>
    <w:basedOn w:val="8"/>
    <w:qFormat/>
    <w:uiPriority w:val="99"/>
    <w:rPr>
      <w:rFonts w:cs="Times New Roman"/>
      <w:color w:val="555555"/>
      <w:u w:val="none"/>
    </w:rPr>
  </w:style>
  <w:style w:type="character" w:styleId="16">
    <w:name w:val="HTML Code"/>
    <w:basedOn w:val="8"/>
    <w:qFormat/>
    <w:uiPriority w:val="99"/>
    <w:rPr>
      <w:rFonts w:ascii="Courier New" w:hAnsi="Courier New" w:cs="Times New Roman"/>
      <w:sz w:val="20"/>
    </w:rPr>
  </w:style>
  <w:style w:type="character" w:styleId="17">
    <w:name w:val="HTML Cite"/>
    <w:basedOn w:val="8"/>
    <w:qFormat/>
    <w:uiPriority w:val="99"/>
    <w:rPr>
      <w:rFonts w:cs="Times New Roman"/>
    </w:rPr>
  </w:style>
  <w:style w:type="character" w:customStyle="1" w:styleId="18">
    <w:name w:val="标题 1 Char"/>
    <w:basedOn w:val="8"/>
    <w:link w:val="2"/>
    <w:qFormat/>
    <w:locked/>
    <w:uiPriority w:val="99"/>
    <w:rPr>
      <w:rFonts w:ascii="Calibri" w:hAnsi="Calibri" w:cs="Times New Roman"/>
      <w:b/>
      <w:bCs/>
      <w:kern w:val="44"/>
      <w:sz w:val="44"/>
      <w:szCs w:val="44"/>
    </w:rPr>
  </w:style>
  <w:style w:type="character" w:customStyle="1" w:styleId="19">
    <w:name w:val="页脚 Char"/>
    <w:basedOn w:val="8"/>
    <w:link w:val="3"/>
    <w:semiHidden/>
    <w:qFormat/>
    <w:locked/>
    <w:uiPriority w:val="99"/>
    <w:rPr>
      <w:rFonts w:ascii="Calibri" w:hAnsi="Calibri" w:cs="Times New Roman"/>
      <w:sz w:val="18"/>
      <w:szCs w:val="18"/>
    </w:rPr>
  </w:style>
  <w:style w:type="character" w:customStyle="1" w:styleId="20">
    <w:name w:val="页眉 Char"/>
    <w:basedOn w:val="8"/>
    <w:link w:val="4"/>
    <w:semiHidden/>
    <w:qFormat/>
    <w:locked/>
    <w:uiPriority w:val="99"/>
    <w:rPr>
      <w:rFonts w:ascii="Calibri" w:hAnsi="Calibri" w:cs="Times New Roman"/>
      <w:sz w:val="18"/>
      <w:szCs w:val="18"/>
    </w:rPr>
  </w:style>
  <w:style w:type="character" w:customStyle="1" w:styleId="21">
    <w:name w:val="current"/>
    <w:basedOn w:val="8"/>
    <w:qFormat/>
    <w:uiPriority w:val="99"/>
    <w:rPr>
      <w:rFonts w:cs="Times New Roman"/>
      <w:b/>
      <w:color w:val="FFFFFF"/>
      <w:bdr w:val="single" w:color="1E72B4" w:sz="6" w:space="0"/>
      <w:shd w:val="clear" w:color="auto" w:fill="1E72B4"/>
    </w:rPr>
  </w:style>
  <w:style w:type="character" w:customStyle="1" w:styleId="22">
    <w:name w:val="disabled"/>
    <w:basedOn w:val="8"/>
    <w:qFormat/>
    <w:uiPriority w:val="99"/>
    <w:rPr>
      <w:rFonts w:cs="Times New Roman"/>
      <w:color w:val="999999"/>
      <w:bdr w:val="single" w:color="C5C5C5" w:sz="6" w:space="0"/>
    </w:rPr>
  </w:style>
  <w:style w:type="paragraph" w:customStyle="1" w:styleId="23">
    <w:name w:val="p0"/>
    <w:basedOn w:val="1"/>
    <w:qFormat/>
    <w:uiPriority w:val="99"/>
    <w:pPr>
      <w:widowControl/>
    </w:pPr>
  </w:style>
  <w:style w:type="paragraph" w:styleId="2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2051"/>
    <customShpInfo spid="_x0000_s205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9</Pages>
  <Words>443</Words>
  <Characters>2527</Characters>
  <Lines>21</Lines>
  <Paragraphs>5</Paragraphs>
  <TotalTime>4</TotalTime>
  <ScaleCrop>false</ScaleCrop>
  <LinksUpToDate>false</LinksUpToDate>
  <CharactersWithSpaces>2965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2018-03-14T01:54:00Z</dcterms:created>
  <dc:creator>Administrator</dc:creator>
  <cp:lastModifiedBy>001</cp:lastModifiedBy>
  <cp:lastPrinted>2021-10-28T08:18:33Z</cp:lastPrinted>
  <dcterms:modified xsi:type="dcterms:W3CDTF">2021-10-28T08:18:53Z</dcterms:modified>
  <dc:title>湘植保〔2018〕？号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EE93FC1027C644088707CD8CA0FDF6E4</vt:lpwstr>
  </property>
</Properties>
</file>