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黑体" w:eastAsia="黑体"/>
          <w:sz w:val="32"/>
          <w:szCs w:val="28"/>
        </w:rPr>
      </w:pPr>
      <w:r>
        <w:rPr>
          <w:rFonts w:hint="eastAsia" w:ascii="Times New Roman" w:hAnsi="黑体" w:eastAsia="黑体"/>
          <w:sz w:val="32"/>
          <w:szCs w:val="28"/>
        </w:rPr>
        <w:t>附件2</w:t>
      </w:r>
    </w:p>
    <w:p>
      <w:pPr>
        <w:spacing w:before="62" w:beforeLines="20" w:after="156" w:afterLines="50" w:line="52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全省农药使用监测调查县与调查作物表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843"/>
        <w:gridCol w:w="938"/>
        <w:gridCol w:w="974"/>
        <w:gridCol w:w="972"/>
        <w:gridCol w:w="974"/>
        <w:gridCol w:w="973"/>
        <w:gridCol w:w="974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县市区</w:t>
            </w:r>
          </w:p>
        </w:tc>
        <w:tc>
          <w:tcPr>
            <w:tcW w:w="184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双季稻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（早晚稻连茬）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一季稻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柑橘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油菜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露地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蔬菜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棉花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茶叶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玉米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华容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湘阴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平江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宁乡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湘乡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醴陵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攸县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衡南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安仁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桃源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澧县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安化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赫山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桃江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南县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新化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双峰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武冈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龙山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慈利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芷江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辰溪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道县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东安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合计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11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9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6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5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7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3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4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99B4D3A-10D1-4F61-967F-E95A0C9C9D3A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843F846D-0ADE-4FAD-9BF7-17AD36D299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382C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2022-09-29T01:24:33Z</dcterms:created>
  <dc:creator>Lenovo</dc:creator>
  <cp:lastModifiedBy>蕙</cp:lastModifiedBy>
  <dcterms:modified xsi:type="dcterms:W3CDTF">2022-09-29T01:24:50Z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B8930B2EA2DE410F9A4B052B8B0B73A2</vt:lpwstr>
  </property>
</Properties>
</file>