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rPr>
          <w:rFonts w:ascii="小标宋" w:hAnsi="黑体" w:eastAsia="小标宋"/>
          <w:sz w:val="44"/>
          <w:szCs w:val="44"/>
        </w:rPr>
      </w:pPr>
      <w:r>
        <w:rPr>
          <w:rFonts w:hint="eastAsia" w:ascii="黑体" w:hAnsi="黑体" w:eastAsia="黑体"/>
          <w:sz w:val="32"/>
          <w:szCs w:val="28"/>
        </w:rPr>
        <w:t>附件</w:t>
      </w:r>
      <w:r>
        <w:rPr>
          <w:rFonts w:ascii="Times New Roman" w:hAnsi="Times New Roman" w:eastAsia="黑体"/>
          <w:sz w:val="32"/>
          <w:szCs w:val="28"/>
        </w:rPr>
        <w:t>1</w:t>
      </w:r>
    </w:p>
    <w:p>
      <w:pPr>
        <w:widowControl/>
        <w:spacing w:line="600" w:lineRule="exact"/>
        <w:jc w:val="center"/>
        <w:rPr>
          <w:rFonts w:ascii="小标宋" w:hAnsi="黑体" w:eastAsia="小标宋"/>
          <w:sz w:val="40"/>
          <w:szCs w:val="44"/>
        </w:rPr>
      </w:pPr>
      <w:bookmarkStart w:id="0" w:name="_GoBack"/>
      <w:r>
        <w:rPr>
          <w:rFonts w:hint="eastAsia" w:ascii="小标宋" w:hAnsi="黑体" w:eastAsia="小标宋"/>
          <w:sz w:val="40"/>
          <w:szCs w:val="44"/>
        </w:rPr>
        <w:t>全国农作物病虫害绿色防控示范县</w:t>
      </w:r>
    </w:p>
    <w:p>
      <w:pPr>
        <w:widowControl/>
        <w:spacing w:line="600" w:lineRule="exact"/>
        <w:jc w:val="center"/>
        <w:rPr>
          <w:rFonts w:ascii="小标宋" w:hAnsi="黑体" w:eastAsia="小标宋"/>
          <w:sz w:val="44"/>
          <w:szCs w:val="44"/>
        </w:rPr>
      </w:pPr>
      <w:r>
        <w:rPr>
          <w:rFonts w:hint="eastAsia" w:ascii="小标宋" w:hAnsi="黑体" w:eastAsia="小标宋"/>
          <w:sz w:val="40"/>
          <w:szCs w:val="44"/>
        </w:rPr>
        <w:t>创建工作方案</w:t>
      </w:r>
    </w:p>
    <w:bookmarkEnd w:id="0"/>
    <w:p>
      <w:pPr>
        <w:spacing w:line="600" w:lineRule="exact"/>
        <w:ind w:firstLine="630"/>
        <w:rPr>
          <w:rFonts w:ascii="仿宋_GB2312" w:eastAsia="仿宋_GB2312"/>
          <w:sz w:val="32"/>
          <w:szCs w:val="32"/>
        </w:rPr>
      </w:pPr>
      <w:r>
        <w:rPr>
          <w:rFonts w:hint="eastAsia" w:ascii="仿宋_GB2312" w:eastAsia="仿宋_GB2312"/>
          <w:sz w:val="32"/>
          <w:szCs w:val="32"/>
        </w:rPr>
        <w:t>为落实《国家质量兴农战略规划</w:t>
      </w:r>
      <w:r>
        <w:rPr>
          <w:rFonts w:ascii="Times New Roman" w:hAnsi="Times New Roman" w:eastAsia="仿宋_GB2312"/>
          <w:sz w:val="32"/>
          <w:szCs w:val="32"/>
        </w:rPr>
        <w:t>（2018</w:t>
      </w:r>
      <w:r>
        <w:rPr>
          <w:rFonts w:hint="eastAsia" w:ascii="Times New Roman" w:hAnsi="Times New Roman" w:eastAsia="仿宋_GB2312"/>
          <w:sz w:val="32"/>
          <w:szCs w:val="32"/>
        </w:rPr>
        <w:t>—</w:t>
      </w:r>
      <w:r>
        <w:rPr>
          <w:rFonts w:ascii="Times New Roman" w:hAnsi="Times New Roman" w:eastAsia="仿宋_GB2312"/>
          <w:sz w:val="32"/>
          <w:szCs w:val="32"/>
        </w:rPr>
        <w:t>2022年）</w:t>
      </w:r>
      <w:r>
        <w:rPr>
          <w:rFonts w:hint="eastAsia" w:ascii="仿宋_GB2312" w:eastAsia="仿宋_GB2312"/>
          <w:sz w:val="32"/>
          <w:szCs w:val="32"/>
        </w:rPr>
        <w:t>》关于“实施绿色防控替代化学防治行动，建设</w:t>
      </w:r>
      <w:r>
        <w:rPr>
          <w:rFonts w:ascii="Times New Roman" w:hAnsi="Times New Roman" w:eastAsia="仿宋_GB2312"/>
          <w:sz w:val="32"/>
          <w:szCs w:val="32"/>
        </w:rPr>
        <w:t>300个绿色防控示范县</w:t>
      </w:r>
      <w:r>
        <w:rPr>
          <w:rFonts w:ascii="仿宋_GB2312" w:hAnsi="Times New Roman" w:eastAsia="仿宋_GB2312"/>
          <w:sz w:val="32"/>
          <w:szCs w:val="32"/>
        </w:rPr>
        <w:t>”</w:t>
      </w:r>
      <w:r>
        <w:rPr>
          <w:rFonts w:hint="eastAsia" w:ascii="Times New Roman" w:hAnsi="Times New Roman" w:eastAsia="仿宋_GB2312"/>
          <w:sz w:val="32"/>
          <w:szCs w:val="32"/>
        </w:rPr>
        <w:t>和《“十四五”种植业发展规划》</w:t>
      </w:r>
      <w:r>
        <w:rPr>
          <w:rFonts w:ascii="Times New Roman" w:hAnsi="Times New Roman" w:eastAsia="仿宋_GB2312"/>
          <w:sz w:val="32"/>
          <w:szCs w:val="32"/>
        </w:rPr>
        <w:t>提出</w:t>
      </w:r>
      <w:r>
        <w:rPr>
          <w:rFonts w:hint="eastAsia" w:ascii="仿宋_GB2312" w:eastAsia="仿宋_GB2312"/>
          <w:sz w:val="32"/>
          <w:szCs w:val="32"/>
        </w:rPr>
        <w:t>的“建设5</w:t>
      </w:r>
      <w:r>
        <w:rPr>
          <w:rFonts w:ascii="Times New Roman" w:hAnsi="Times New Roman" w:eastAsia="仿宋_GB2312"/>
          <w:sz w:val="32"/>
          <w:szCs w:val="32"/>
        </w:rPr>
        <w:t>00个</w:t>
      </w:r>
      <w:r>
        <w:rPr>
          <w:rFonts w:hint="eastAsia" w:ascii="Times New Roman" w:hAnsi="Times New Roman" w:eastAsia="仿宋_GB2312"/>
          <w:sz w:val="32"/>
          <w:szCs w:val="32"/>
        </w:rPr>
        <w:t>病虫害</w:t>
      </w:r>
      <w:r>
        <w:rPr>
          <w:rFonts w:hint="eastAsia" w:ascii="仿宋_GB2312" w:eastAsia="仿宋_GB2312"/>
          <w:sz w:val="32"/>
          <w:szCs w:val="32"/>
        </w:rPr>
        <w:t>绿色防控整建制推进县”的要求，加快推进农作物病虫害绿色防控进程，</w:t>
      </w:r>
      <w:r>
        <w:rPr>
          <w:rFonts w:ascii="Times New Roman" w:hAnsi="Times New Roman" w:eastAsia="仿宋_GB2312"/>
          <w:sz w:val="32"/>
          <w:szCs w:val="32"/>
        </w:rPr>
        <w:t>2022</w:t>
      </w:r>
      <w:r>
        <w:rPr>
          <w:rFonts w:hint="eastAsia" w:ascii="仿宋_GB2312" w:eastAsia="仿宋_GB2312"/>
          <w:sz w:val="32"/>
          <w:szCs w:val="32"/>
        </w:rPr>
        <w:t>年全国农技中心将继续组织开展</w:t>
      </w:r>
      <w:r>
        <w:rPr>
          <w:rFonts w:hint="eastAsia" w:ascii="Times New Roman" w:hAnsi="Times New Roman" w:eastAsia="仿宋_GB2312"/>
          <w:sz w:val="32"/>
          <w:szCs w:val="32"/>
        </w:rPr>
        <w:t>第四批全国</w:t>
      </w:r>
      <w:r>
        <w:rPr>
          <w:rFonts w:ascii="Times New Roman" w:hAnsi="Times New Roman" w:eastAsia="仿宋_GB2312"/>
          <w:sz w:val="32"/>
          <w:szCs w:val="32"/>
        </w:rPr>
        <w:t>农作物</w:t>
      </w:r>
      <w:r>
        <w:rPr>
          <w:rFonts w:hint="eastAsia" w:ascii="仿宋_GB2312" w:eastAsia="仿宋_GB2312"/>
          <w:sz w:val="32"/>
          <w:szCs w:val="32"/>
        </w:rPr>
        <w:t>病虫害</w:t>
      </w:r>
      <w:r>
        <w:rPr>
          <w:rFonts w:hint="eastAsia" w:ascii="仿宋_GB2312" w:hAnsi="宋体" w:eastAsia="仿宋_GB2312"/>
          <w:sz w:val="32"/>
          <w:szCs w:val="32"/>
        </w:rPr>
        <w:t>绿色防控示范县</w:t>
      </w:r>
      <w:r>
        <w:rPr>
          <w:rFonts w:hint="eastAsia" w:ascii="仿宋_GB2312" w:eastAsia="仿宋_GB2312"/>
          <w:sz w:val="32"/>
          <w:szCs w:val="32"/>
        </w:rPr>
        <w:t>创建活动，特制定本方案。</w:t>
      </w:r>
    </w:p>
    <w:p>
      <w:pPr>
        <w:spacing w:line="600" w:lineRule="exact"/>
        <w:ind w:firstLine="645"/>
        <w:rPr>
          <w:rFonts w:ascii="黑体" w:hAnsi="黑体" w:eastAsia="黑体"/>
          <w:sz w:val="32"/>
          <w:szCs w:val="32"/>
        </w:rPr>
      </w:pPr>
      <w:r>
        <w:rPr>
          <w:rFonts w:hint="eastAsia" w:ascii="黑体" w:hAnsi="黑体" w:eastAsia="黑体"/>
          <w:sz w:val="32"/>
          <w:szCs w:val="32"/>
        </w:rPr>
        <w:t>一、指导思想</w:t>
      </w:r>
    </w:p>
    <w:p>
      <w:pPr>
        <w:spacing w:line="600" w:lineRule="exact"/>
        <w:ind w:firstLine="645"/>
        <w:rPr>
          <w:rFonts w:ascii="仿宋_GB2312" w:hAnsi="宋体" w:eastAsia="仿宋_GB2312"/>
          <w:sz w:val="32"/>
          <w:szCs w:val="32"/>
        </w:rPr>
      </w:pPr>
      <w:r>
        <w:rPr>
          <w:rFonts w:hint="eastAsia" w:ascii="仿宋_GB2312" w:eastAsia="仿宋_GB2312"/>
          <w:sz w:val="32"/>
          <w:szCs w:val="32"/>
        </w:rPr>
        <w:t>开展绿色防控是实现病虫害可持续控制、确保农产品质量安全和生态安全的有效途径。通过创建</w:t>
      </w:r>
      <w:r>
        <w:rPr>
          <w:rFonts w:hint="eastAsia" w:ascii="仿宋_GB2312" w:hAnsi="宋体" w:eastAsia="仿宋_GB2312"/>
          <w:sz w:val="32"/>
          <w:szCs w:val="32"/>
        </w:rPr>
        <w:t>“绿色防控示范县”</w:t>
      </w:r>
      <w:r>
        <w:rPr>
          <w:rFonts w:hint="eastAsia" w:ascii="仿宋_GB2312" w:eastAsia="仿宋_GB2312"/>
          <w:sz w:val="32"/>
          <w:szCs w:val="32"/>
        </w:rPr>
        <w:t>，推动各级政府重视绿色防控工作，增强社会各界和农民群众对绿色防控重要性的认识，持续有效推进绿色防控工作，服务农业绿色可持续发展。</w:t>
      </w:r>
    </w:p>
    <w:p>
      <w:pPr>
        <w:spacing w:line="600" w:lineRule="exact"/>
        <w:ind w:firstLine="645"/>
        <w:rPr>
          <w:rFonts w:ascii="仿宋_GB2312" w:eastAsia="仿宋_GB2312"/>
          <w:sz w:val="32"/>
          <w:szCs w:val="32"/>
        </w:rPr>
      </w:pPr>
      <w:r>
        <w:rPr>
          <w:rFonts w:hint="eastAsia" w:ascii="仿宋_GB2312" w:hAnsi="宋体" w:eastAsia="仿宋_GB2312"/>
          <w:sz w:val="32"/>
          <w:szCs w:val="32"/>
        </w:rPr>
        <w:t>“绿色防控示范县”</w:t>
      </w:r>
      <w:r>
        <w:rPr>
          <w:rFonts w:hint="eastAsia" w:ascii="仿宋_GB2312" w:eastAsia="仿宋_GB2312"/>
          <w:sz w:val="32"/>
          <w:szCs w:val="32"/>
        </w:rPr>
        <w:t>创建以绿色发展为引领，坚持绿色兴农、质量兴农、效益优先，以优质农产品生产基地和新型农业经营主体为重点，以作物为主线，着眼全生育期病虫害防控技术集成与应用，促进技术创新、服务创新和机制创新，辐射带动绿色防控技术大面积推广应用，助力农药减量控害，实现病虫害可持续治理，确保农产品质量安全和生态环境安全。</w:t>
      </w:r>
    </w:p>
    <w:p>
      <w:pPr>
        <w:spacing w:line="600" w:lineRule="exact"/>
        <w:ind w:firstLine="645"/>
        <w:rPr>
          <w:rFonts w:ascii="黑体" w:hAnsi="黑体" w:eastAsia="黑体"/>
          <w:sz w:val="32"/>
          <w:szCs w:val="32"/>
        </w:rPr>
      </w:pPr>
      <w:r>
        <w:rPr>
          <w:rFonts w:hint="eastAsia" w:ascii="黑体" w:hAnsi="黑体" w:eastAsia="黑体"/>
          <w:sz w:val="32"/>
          <w:szCs w:val="32"/>
        </w:rPr>
        <w:t>二、工作目标</w:t>
      </w:r>
    </w:p>
    <w:p>
      <w:pPr>
        <w:spacing w:line="600" w:lineRule="exact"/>
        <w:ind w:firstLine="630"/>
        <w:rPr>
          <w:rFonts w:ascii="仿宋_GB2312" w:hAnsi="宋体" w:eastAsia="仿宋_GB2312"/>
          <w:sz w:val="32"/>
          <w:szCs w:val="32"/>
        </w:rPr>
      </w:pPr>
      <w:r>
        <w:rPr>
          <w:rFonts w:hint="eastAsia" w:ascii="Times New Roman" w:hAnsi="Times New Roman" w:eastAsia="仿宋_GB2312"/>
          <w:sz w:val="32"/>
          <w:szCs w:val="32"/>
        </w:rPr>
        <w:t>2022年</w:t>
      </w:r>
      <w:r>
        <w:rPr>
          <w:rFonts w:ascii="Times New Roman" w:hAnsi="Times New Roman" w:eastAsia="仿宋_GB2312"/>
          <w:sz w:val="32"/>
          <w:szCs w:val="32"/>
        </w:rPr>
        <w:t>创建</w:t>
      </w:r>
      <w:r>
        <w:rPr>
          <w:rFonts w:hint="eastAsia" w:ascii="Times New Roman" w:hAnsi="Times New Roman" w:eastAsia="仿宋_GB2312"/>
          <w:sz w:val="32"/>
          <w:szCs w:val="32"/>
        </w:rPr>
        <w:t>100</w:t>
      </w:r>
      <w:r>
        <w:rPr>
          <w:rFonts w:ascii="Times New Roman" w:hAnsi="Times New Roman" w:eastAsia="仿宋_GB2312"/>
          <w:sz w:val="32"/>
          <w:szCs w:val="32"/>
        </w:rPr>
        <w:t>个示范县，</w:t>
      </w:r>
      <w:r>
        <w:rPr>
          <w:rFonts w:hint="eastAsia" w:ascii="Times New Roman" w:hAnsi="Times New Roman" w:eastAsia="仿宋_GB2312"/>
          <w:sz w:val="32"/>
          <w:szCs w:val="32"/>
        </w:rPr>
        <w:t>包括</w:t>
      </w:r>
      <w:r>
        <w:rPr>
          <w:rFonts w:ascii="Times New Roman" w:hAnsi="Times New Roman" w:eastAsia="仿宋_GB2312"/>
          <w:sz w:val="32"/>
          <w:szCs w:val="32"/>
        </w:rPr>
        <w:t>水稻、小麦、玉米、</w:t>
      </w:r>
      <w:r>
        <w:rPr>
          <w:rFonts w:hint="eastAsia" w:ascii="Times New Roman" w:hAnsi="Times New Roman" w:eastAsia="仿宋_GB2312"/>
          <w:sz w:val="32"/>
          <w:szCs w:val="32"/>
        </w:rPr>
        <w:t>马铃薯、杂粮杂豆</w:t>
      </w:r>
      <w:r>
        <w:rPr>
          <w:rFonts w:ascii="Times New Roman" w:hAnsi="Times New Roman" w:eastAsia="仿宋_GB2312"/>
          <w:sz w:val="32"/>
          <w:szCs w:val="32"/>
        </w:rPr>
        <w:t>等</w:t>
      </w:r>
      <w:r>
        <w:rPr>
          <w:rFonts w:hint="eastAsia" w:ascii="Times New Roman" w:hAnsi="Times New Roman" w:eastAsia="仿宋_GB2312"/>
          <w:sz w:val="32"/>
          <w:szCs w:val="32"/>
        </w:rPr>
        <w:t>粮食作物以及</w:t>
      </w:r>
      <w:r>
        <w:rPr>
          <w:rFonts w:ascii="Times New Roman" w:hAnsi="Times New Roman" w:eastAsia="仿宋_GB2312"/>
          <w:sz w:val="32"/>
          <w:szCs w:val="32"/>
        </w:rPr>
        <w:t>蔬菜、果树、茶叶、</w:t>
      </w:r>
      <w:r>
        <w:rPr>
          <w:rFonts w:hint="eastAsia" w:ascii="Times New Roman" w:hAnsi="Times New Roman" w:eastAsia="仿宋_GB2312"/>
          <w:sz w:val="32"/>
          <w:szCs w:val="32"/>
        </w:rPr>
        <w:t>棉花、</w:t>
      </w:r>
      <w:r>
        <w:rPr>
          <w:rFonts w:ascii="Times New Roman" w:hAnsi="Times New Roman" w:eastAsia="仿宋_GB2312"/>
          <w:sz w:val="32"/>
          <w:szCs w:val="32"/>
        </w:rPr>
        <w:t>油菜</w:t>
      </w:r>
      <w:r>
        <w:rPr>
          <w:rFonts w:hint="eastAsia" w:ascii="Times New Roman" w:hAnsi="Times New Roman" w:eastAsia="仿宋_GB2312"/>
          <w:sz w:val="32"/>
          <w:szCs w:val="32"/>
        </w:rPr>
        <w:t>、向日葵等园艺、经济作物，具体示范县创建数量以评审结果为准。</w:t>
      </w:r>
      <w:r>
        <w:rPr>
          <w:rFonts w:hint="eastAsia" w:ascii="仿宋_GB2312" w:hAnsi="宋体" w:eastAsia="仿宋_GB2312"/>
          <w:sz w:val="32"/>
          <w:szCs w:val="32"/>
        </w:rPr>
        <w:t>对</w:t>
      </w:r>
      <w:r>
        <w:rPr>
          <w:rFonts w:ascii="Times New Roman" w:hAnsi="Times New Roman" w:eastAsia="仿宋_GB2312"/>
          <w:sz w:val="32"/>
          <w:szCs w:val="32"/>
        </w:rPr>
        <w:t>2019</w:t>
      </w:r>
      <w:r>
        <w:rPr>
          <w:rFonts w:hint="eastAsia" w:ascii="仿宋_GB2312" w:hAnsi="宋体" w:eastAsia="仿宋_GB2312"/>
          <w:sz w:val="32"/>
          <w:szCs w:val="32"/>
        </w:rPr>
        <w:t>—</w:t>
      </w:r>
      <w:r>
        <w:rPr>
          <w:rFonts w:ascii="Times New Roman" w:hAnsi="Times New Roman" w:eastAsia="仿宋_GB2312"/>
          <w:sz w:val="32"/>
          <w:szCs w:val="32"/>
        </w:rPr>
        <w:t>2021</w:t>
      </w:r>
      <w:r>
        <w:rPr>
          <w:rFonts w:hint="eastAsia" w:ascii="仿宋_GB2312" w:hAnsi="宋体" w:eastAsia="仿宋_GB2312"/>
          <w:sz w:val="32"/>
          <w:szCs w:val="32"/>
        </w:rPr>
        <w:t>年创建的“绿色防控示范县”实行抽查考核、动态管理，不达标或出现不良事件的取消“绿色防控示范县”称号。</w:t>
      </w:r>
    </w:p>
    <w:p>
      <w:pPr>
        <w:spacing w:line="600" w:lineRule="exact"/>
        <w:ind w:firstLine="645"/>
        <w:rPr>
          <w:rFonts w:ascii="黑体" w:hAnsi="黑体" w:eastAsia="黑体"/>
          <w:sz w:val="32"/>
          <w:szCs w:val="32"/>
        </w:rPr>
      </w:pPr>
      <w:r>
        <w:rPr>
          <w:rFonts w:hint="eastAsia" w:ascii="黑体" w:hAnsi="黑体" w:eastAsia="黑体"/>
          <w:sz w:val="32"/>
          <w:szCs w:val="32"/>
        </w:rPr>
        <w:t>三、创建内容</w:t>
      </w:r>
    </w:p>
    <w:p>
      <w:pPr>
        <w:adjustRightInd w:val="0"/>
        <w:snapToGrid w:val="0"/>
        <w:spacing w:line="600" w:lineRule="exact"/>
        <w:ind w:firstLine="629"/>
        <w:rPr>
          <w:rFonts w:ascii="仿宋_GB2312" w:hAnsi="宋体" w:eastAsia="仿宋_GB2312"/>
          <w:sz w:val="32"/>
          <w:szCs w:val="32"/>
        </w:rPr>
      </w:pPr>
      <w:r>
        <w:rPr>
          <w:rFonts w:hint="eastAsia" w:ascii="楷体_GB2312" w:hAnsi="宋体" w:eastAsia="楷体_GB2312"/>
          <w:b/>
          <w:sz w:val="32"/>
          <w:szCs w:val="32"/>
        </w:rPr>
        <w:t>（一）强化示范区建设。</w:t>
      </w:r>
      <w:r>
        <w:rPr>
          <w:rFonts w:hint="eastAsia" w:ascii="仿宋_GB2312" w:hAnsi="宋体" w:eastAsia="仿宋_GB2312"/>
          <w:sz w:val="32"/>
          <w:szCs w:val="32"/>
        </w:rPr>
        <w:t>优先在粮食生产功能区、果菜茶优势区、农产品品牌基地等县域开展“绿色防控示范县”创建。科学遴选示范基地，以大户、家庭农场、合作社、农业龙头企业等新型经营主体为重点，尽量选择集中连片地块，创建万亩示范片，充分发挥示范带动和引领作用。</w:t>
      </w:r>
    </w:p>
    <w:p>
      <w:pPr>
        <w:adjustRightInd w:val="0"/>
        <w:snapToGrid w:val="0"/>
        <w:spacing w:line="600" w:lineRule="exact"/>
        <w:ind w:firstLine="629"/>
        <w:rPr>
          <w:rFonts w:ascii="仿宋_GB2312" w:hAnsi="宋体" w:eastAsia="仿宋_GB2312"/>
          <w:sz w:val="32"/>
          <w:szCs w:val="32"/>
        </w:rPr>
      </w:pPr>
      <w:r>
        <w:rPr>
          <w:rFonts w:hint="eastAsia" w:ascii="楷体_GB2312" w:hAnsi="宋体" w:eastAsia="楷体_GB2312"/>
          <w:b/>
          <w:sz w:val="32"/>
          <w:szCs w:val="32"/>
        </w:rPr>
        <w:t>（二）推进示范技术集成创新。</w:t>
      </w:r>
      <w:r>
        <w:rPr>
          <w:rFonts w:hint="eastAsia" w:ascii="Times New Roman" w:hAnsi="Times New Roman" w:eastAsia="仿宋_GB2312"/>
          <w:kern w:val="0"/>
          <w:sz w:val="32"/>
          <w:szCs w:val="32"/>
        </w:rPr>
        <w:t>根据县域主要作物种类，在</w:t>
      </w:r>
      <w:r>
        <w:rPr>
          <w:rFonts w:ascii="Times New Roman" w:hAnsi="Times New Roman" w:eastAsia="仿宋_GB2312"/>
          <w:kern w:val="0"/>
          <w:sz w:val="32"/>
          <w:szCs w:val="32"/>
        </w:rPr>
        <w:t>示范区综合采用生态调控</w:t>
      </w:r>
      <w:r>
        <w:rPr>
          <w:rFonts w:hint="eastAsia" w:ascii="Times New Roman" w:hAnsi="Times New Roman" w:eastAsia="仿宋_GB2312"/>
          <w:kern w:val="0"/>
          <w:sz w:val="32"/>
          <w:szCs w:val="32"/>
        </w:rPr>
        <w:t>、</w:t>
      </w:r>
      <w:r>
        <w:rPr>
          <w:rFonts w:ascii="Times New Roman" w:hAnsi="Times New Roman" w:eastAsia="仿宋_GB2312"/>
          <w:kern w:val="0"/>
          <w:sz w:val="32"/>
          <w:szCs w:val="32"/>
        </w:rPr>
        <w:t>农业防治、理化诱控、生物防治</w:t>
      </w:r>
      <w:r>
        <w:rPr>
          <w:rFonts w:hint="eastAsia" w:ascii="Times New Roman" w:hAnsi="Times New Roman" w:eastAsia="仿宋_GB2312"/>
          <w:kern w:val="0"/>
          <w:sz w:val="32"/>
          <w:szCs w:val="32"/>
        </w:rPr>
        <w:t>和合理</w:t>
      </w:r>
      <w:r>
        <w:rPr>
          <w:rFonts w:ascii="Times New Roman" w:hAnsi="Times New Roman" w:eastAsia="仿宋_GB2312"/>
          <w:kern w:val="0"/>
          <w:sz w:val="32"/>
          <w:szCs w:val="32"/>
        </w:rPr>
        <w:t>用药</w:t>
      </w:r>
      <w:r>
        <w:rPr>
          <w:rFonts w:hint="eastAsia" w:ascii="Times New Roman" w:hAnsi="Times New Roman" w:eastAsia="仿宋_GB2312"/>
          <w:kern w:val="0"/>
          <w:sz w:val="32"/>
          <w:szCs w:val="32"/>
        </w:rPr>
        <w:t>防控</w:t>
      </w:r>
      <w:r>
        <w:rPr>
          <w:rFonts w:ascii="Times New Roman" w:hAnsi="Times New Roman" w:eastAsia="仿宋_GB2312"/>
          <w:kern w:val="0"/>
          <w:sz w:val="32"/>
          <w:szCs w:val="32"/>
        </w:rPr>
        <w:t>技术措施，</w:t>
      </w:r>
      <w:r>
        <w:rPr>
          <w:rFonts w:hint="eastAsia" w:ascii="仿宋_GB2312" w:hAnsi="宋体" w:eastAsia="仿宋_GB2312"/>
          <w:sz w:val="32"/>
          <w:szCs w:val="32"/>
        </w:rPr>
        <w:t>集成推广不同生态区、不同作物的绿色防控技术模式。</w:t>
      </w:r>
    </w:p>
    <w:p>
      <w:pPr>
        <w:widowControl/>
        <w:adjustRightInd w:val="0"/>
        <w:snapToGrid w:val="0"/>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1．水稻。</w:t>
      </w:r>
      <w:r>
        <w:rPr>
          <w:rFonts w:hint="eastAsia" w:ascii="Times New Roman" w:hAnsi="Times New Roman" w:eastAsia="仿宋_GB2312"/>
          <w:sz w:val="32"/>
          <w:szCs w:val="32"/>
        </w:rPr>
        <w:t>做好选</w:t>
      </w:r>
      <w:r>
        <w:rPr>
          <w:rFonts w:ascii="Times New Roman" w:hAnsi="Times New Roman" w:eastAsia="仿宋_GB2312"/>
          <w:sz w:val="32"/>
          <w:szCs w:val="32"/>
        </w:rPr>
        <w:t>用抗（耐）病虫品种、</w:t>
      </w:r>
      <w:r>
        <w:rPr>
          <w:rFonts w:hint="eastAsia" w:ascii="Times New Roman" w:hAnsi="Times New Roman" w:eastAsia="仿宋_GB2312"/>
          <w:sz w:val="32"/>
          <w:szCs w:val="32"/>
        </w:rPr>
        <w:t>生态调控和生态工程技术、</w:t>
      </w:r>
      <w:r>
        <w:rPr>
          <w:rFonts w:ascii="Times New Roman" w:hAnsi="Times New Roman" w:eastAsia="仿宋_GB2312"/>
          <w:sz w:val="32"/>
          <w:szCs w:val="32"/>
        </w:rPr>
        <w:t>翻耕灌水灭蛹</w:t>
      </w:r>
      <w:r>
        <w:rPr>
          <w:rFonts w:hint="eastAsia" w:ascii="Times New Roman" w:hAnsi="Times New Roman" w:eastAsia="仿宋_GB2312"/>
          <w:sz w:val="32"/>
          <w:szCs w:val="32"/>
        </w:rPr>
        <w:t>和健身栽培等农艺措施，优先采用</w:t>
      </w:r>
      <w:r>
        <w:rPr>
          <w:rFonts w:ascii="Times New Roman" w:hAnsi="Times New Roman" w:eastAsia="仿宋_GB2312"/>
          <w:sz w:val="32"/>
          <w:szCs w:val="32"/>
        </w:rPr>
        <w:t>昆虫性信息素群集</w:t>
      </w:r>
      <w:r>
        <w:rPr>
          <w:rFonts w:hint="eastAsia" w:ascii="仿宋_GB2312" w:eastAsia="仿宋_GB2312"/>
          <w:sz w:val="32"/>
          <w:szCs w:val="32"/>
        </w:rPr>
        <w:t>、</w:t>
      </w:r>
      <w:r>
        <w:rPr>
          <w:rFonts w:ascii="仿宋_GB2312" w:eastAsia="仿宋_GB2312"/>
          <w:sz w:val="32"/>
          <w:szCs w:val="32"/>
        </w:rPr>
        <w:t>人工释放稻螟赤眼蜂</w:t>
      </w:r>
      <w:r>
        <w:rPr>
          <w:rFonts w:hint="eastAsia" w:ascii="仿宋_GB2312" w:eastAsia="仿宋_GB2312"/>
          <w:sz w:val="32"/>
          <w:szCs w:val="32"/>
        </w:rPr>
        <w:t>、种子处理和带药移栽、</w:t>
      </w:r>
      <w:r>
        <w:rPr>
          <w:rFonts w:ascii="仿宋_GB2312" w:eastAsia="仿宋_GB2312"/>
          <w:sz w:val="32"/>
          <w:szCs w:val="32"/>
        </w:rPr>
        <w:t>防虫网或无纺布</w:t>
      </w:r>
      <w:r>
        <w:rPr>
          <w:rFonts w:hint="eastAsia" w:ascii="仿宋_GB2312" w:eastAsia="仿宋_GB2312"/>
          <w:sz w:val="32"/>
          <w:szCs w:val="32"/>
        </w:rPr>
        <w:t>物理</w:t>
      </w:r>
      <w:r>
        <w:rPr>
          <w:rFonts w:ascii="仿宋_GB2312" w:eastAsia="仿宋_GB2312"/>
          <w:sz w:val="32"/>
          <w:szCs w:val="32"/>
        </w:rPr>
        <w:t>阻隔育秧</w:t>
      </w:r>
      <w:r>
        <w:rPr>
          <w:rFonts w:hint="eastAsia" w:ascii="仿宋_GB2312" w:eastAsia="仿宋_GB2312"/>
          <w:sz w:val="32"/>
          <w:szCs w:val="32"/>
        </w:rPr>
        <w:t>、发挥植株补偿功能、孕穗末期至抽穗期保护预防等绿色防控技术。当病虫种群量达到防治指标时，采用生物和化学农药控制危害，优</w:t>
      </w:r>
      <w:r>
        <w:rPr>
          <w:rFonts w:ascii="Times New Roman" w:hAnsi="Times New Roman" w:eastAsia="仿宋_GB2312"/>
          <w:sz w:val="32"/>
          <w:szCs w:val="32"/>
        </w:rPr>
        <w:t>先选用</w:t>
      </w:r>
      <w:r>
        <w:rPr>
          <w:rFonts w:hint="eastAsia" w:ascii="Times New Roman" w:hAnsi="Times New Roman" w:eastAsia="仿宋_GB2312"/>
          <w:sz w:val="32"/>
          <w:szCs w:val="32"/>
        </w:rPr>
        <w:t>苏云金杆菌</w:t>
      </w:r>
      <w:r>
        <w:rPr>
          <w:rFonts w:ascii="Times New Roman" w:hAnsi="Times New Roman" w:eastAsia="仿宋_GB2312"/>
          <w:sz w:val="32"/>
          <w:szCs w:val="32"/>
        </w:rPr>
        <w:t>、短稳杆菌、金龟子绿僵菌CQMa421、甘蓝夜蛾核型多角体病毒、球孢白僵菌、井·蜡芽菌、枯草芽孢杆菌、</w:t>
      </w:r>
      <w:r>
        <w:rPr>
          <w:rFonts w:hint="eastAsia" w:ascii="Times New Roman" w:hAnsi="Times New Roman" w:eastAsia="仿宋_GB2312"/>
          <w:sz w:val="32"/>
          <w:szCs w:val="32"/>
        </w:rPr>
        <w:t>寡雄腐霉、</w:t>
      </w:r>
      <w:r>
        <w:rPr>
          <w:rFonts w:ascii="Times New Roman" w:hAnsi="Times New Roman" w:eastAsia="仿宋_GB2312"/>
          <w:sz w:val="32"/>
          <w:szCs w:val="32"/>
        </w:rPr>
        <w:t>多抗霉素、井冈霉素A</w:t>
      </w:r>
      <w:r>
        <w:rPr>
          <w:rFonts w:hint="eastAsia" w:ascii="Times New Roman" w:hAnsi="Times New Roman" w:eastAsia="仿宋_GB2312"/>
          <w:sz w:val="32"/>
          <w:szCs w:val="32"/>
        </w:rPr>
        <w:t>（24%及以上高含量制剂）</w:t>
      </w:r>
      <w:r>
        <w:rPr>
          <w:rFonts w:ascii="Times New Roman" w:hAnsi="Times New Roman" w:eastAsia="仿宋_GB2312"/>
          <w:sz w:val="32"/>
          <w:szCs w:val="32"/>
        </w:rPr>
        <w:t>、申嗪霉素、春雷霉素</w:t>
      </w:r>
      <w:r>
        <w:rPr>
          <w:rFonts w:hint="eastAsia" w:ascii="Times New Roman" w:hAnsi="Times New Roman" w:eastAsia="仿宋_GB2312"/>
          <w:sz w:val="32"/>
          <w:szCs w:val="32"/>
        </w:rPr>
        <w:t>、宁南霉素、毒氟磷</w:t>
      </w:r>
      <w:r>
        <w:rPr>
          <w:rFonts w:ascii="Times New Roman" w:hAnsi="Times New Roman" w:eastAsia="仿宋_GB2312"/>
          <w:sz w:val="32"/>
          <w:szCs w:val="32"/>
        </w:rPr>
        <w:t>等药剂。</w:t>
      </w:r>
    </w:p>
    <w:p>
      <w:pPr>
        <w:widowControl/>
        <w:adjustRightInd w:val="0"/>
        <w:snapToGrid w:val="0"/>
        <w:spacing w:line="600" w:lineRule="exact"/>
        <w:ind w:firstLine="640" w:firstLineChars="200"/>
        <w:rPr>
          <w:rFonts w:ascii="仿宋_GB2312" w:eastAsia="仿宋_GB2312"/>
          <w:sz w:val="32"/>
          <w:szCs w:val="32"/>
        </w:rPr>
      </w:pPr>
      <w:r>
        <w:rPr>
          <w:rFonts w:ascii="Times New Roman" w:hAnsi="Times New Roman" w:eastAsia="仿宋_GB2312"/>
          <w:sz w:val="32"/>
          <w:szCs w:val="32"/>
        </w:rPr>
        <w:t>2．小麦。</w:t>
      </w:r>
      <w:r>
        <w:rPr>
          <w:rFonts w:hint="eastAsia" w:ascii="仿宋_GB2312" w:eastAsia="仿宋_GB2312"/>
          <w:sz w:val="32"/>
          <w:szCs w:val="32"/>
        </w:rPr>
        <w:t>在条锈病菌源区和地下害虫、土传病害、早期蚜虫发生区,</w:t>
      </w:r>
      <w:r>
        <w:rPr>
          <w:rFonts w:ascii="Times New Roman" w:hAnsi="Times New Roman" w:eastAsia="仿宋_GB2312"/>
          <w:sz w:val="32"/>
          <w:szCs w:val="32"/>
        </w:rPr>
        <w:t>选用</w:t>
      </w:r>
      <w:r>
        <w:rPr>
          <w:rFonts w:hint="eastAsia" w:ascii="仿宋_GB2312" w:eastAsia="仿宋_GB2312"/>
          <w:sz w:val="32"/>
          <w:szCs w:val="32"/>
        </w:rPr>
        <w:t>抗病虫品种，推广秋播拌种和种子包衣预防技术；结合结构调整，采用适期晚播、合理轮作、适度混作等生态调控技术；集成天敌昆虫、生物农药防治蚜虫和吸浆虫，捕食螨防治麦红蜘蛛，生物农药防治白粉病、纹枯等真菌病害，氨基寡糖素、芸苔素内酯、赤吲乙芸苔等植物生长调节和免疫诱抗技术以及高效环保农药防治小麦赤霉病、蚜虫、麦蜘蛛等技术。</w:t>
      </w:r>
    </w:p>
    <w:p>
      <w:pPr>
        <w:widowControl/>
        <w:adjustRightInd w:val="0"/>
        <w:snapToGrid w:val="0"/>
        <w:spacing w:line="600" w:lineRule="exact"/>
        <w:ind w:firstLine="640" w:firstLineChars="200"/>
        <w:rPr>
          <w:rFonts w:ascii="仿宋_GB2312" w:eastAsia="仿宋_GB2312"/>
          <w:sz w:val="32"/>
          <w:szCs w:val="32"/>
        </w:rPr>
      </w:pPr>
      <w:r>
        <w:rPr>
          <w:rFonts w:ascii="Times New Roman" w:hAnsi="Times New Roman" w:eastAsia="仿宋_GB2312"/>
          <w:sz w:val="32"/>
          <w:szCs w:val="32"/>
        </w:rPr>
        <w:t>3．玉米。选用抗耐病虫品种，合理密植，</w:t>
      </w:r>
      <w:r>
        <w:rPr>
          <w:rFonts w:hint="eastAsia" w:ascii="Times New Roman" w:hAnsi="Times New Roman" w:eastAsia="仿宋_GB2312"/>
          <w:sz w:val="32"/>
          <w:szCs w:val="32"/>
        </w:rPr>
        <w:t>健身栽培</w:t>
      </w:r>
      <w:r>
        <w:rPr>
          <w:rFonts w:ascii="Times New Roman" w:hAnsi="Times New Roman" w:eastAsia="仿宋_GB2312"/>
          <w:sz w:val="32"/>
          <w:szCs w:val="32"/>
        </w:rPr>
        <w:t>；采取秸秆综合利用、粉碎还田、</w:t>
      </w:r>
      <w:r>
        <w:rPr>
          <w:rFonts w:hint="eastAsia" w:ascii="Times New Roman" w:hAnsi="Times New Roman" w:eastAsia="仿宋_GB2312"/>
          <w:sz w:val="32"/>
          <w:szCs w:val="32"/>
        </w:rPr>
        <w:t>播</w:t>
      </w:r>
      <w:r>
        <w:rPr>
          <w:rFonts w:ascii="Times New Roman" w:hAnsi="Times New Roman" w:eastAsia="仿宋_GB2312"/>
          <w:sz w:val="32"/>
          <w:szCs w:val="32"/>
        </w:rPr>
        <w:t>前灭茬</w:t>
      </w:r>
      <w:r>
        <w:rPr>
          <w:rFonts w:hint="eastAsia" w:ascii="Times New Roman" w:hAnsi="Times New Roman" w:eastAsia="仿宋_GB2312"/>
          <w:sz w:val="32"/>
          <w:szCs w:val="32"/>
        </w:rPr>
        <w:t>压低病虫源基数</w:t>
      </w:r>
      <w:r>
        <w:rPr>
          <w:rFonts w:ascii="Times New Roman" w:hAnsi="Times New Roman" w:eastAsia="仿宋_GB2312"/>
          <w:sz w:val="32"/>
          <w:szCs w:val="32"/>
        </w:rPr>
        <w:t>；</w:t>
      </w:r>
      <w:r>
        <w:rPr>
          <w:rFonts w:hint="eastAsia" w:ascii="Times New Roman" w:hAnsi="Times New Roman" w:eastAsia="仿宋_GB2312"/>
          <w:sz w:val="32"/>
          <w:szCs w:val="32"/>
        </w:rPr>
        <w:t>因地制宜</w:t>
      </w:r>
      <w:r>
        <w:rPr>
          <w:rFonts w:ascii="Times New Roman" w:hAnsi="Times New Roman" w:eastAsia="仿宋_GB2312"/>
          <w:sz w:val="32"/>
          <w:szCs w:val="32"/>
        </w:rPr>
        <w:t>推广种子处理技术，</w:t>
      </w:r>
      <w:r>
        <w:rPr>
          <w:rFonts w:hint="eastAsia" w:ascii="Times New Roman" w:hAnsi="Times New Roman" w:eastAsia="仿宋_GB2312"/>
          <w:sz w:val="32"/>
          <w:szCs w:val="32"/>
        </w:rPr>
        <w:t>预防</w:t>
      </w:r>
      <w:r>
        <w:rPr>
          <w:rFonts w:ascii="Times New Roman" w:hAnsi="Times New Roman" w:eastAsia="仿宋_GB2312"/>
          <w:sz w:val="32"/>
          <w:szCs w:val="32"/>
        </w:rPr>
        <w:t>控制地下害虫</w:t>
      </w:r>
      <w:r>
        <w:rPr>
          <w:rFonts w:hint="eastAsia" w:ascii="仿宋_GB2312" w:eastAsia="仿宋_GB2312"/>
          <w:sz w:val="32"/>
          <w:szCs w:val="32"/>
        </w:rPr>
        <w:t>、</w:t>
      </w:r>
      <w:r>
        <w:rPr>
          <w:rFonts w:ascii="仿宋_GB2312" w:eastAsia="仿宋_GB2312"/>
          <w:sz w:val="32"/>
          <w:szCs w:val="32"/>
        </w:rPr>
        <w:t>蓟马、蚜虫、灰</w:t>
      </w:r>
      <w:r>
        <w:rPr>
          <w:rFonts w:hint="eastAsia" w:ascii="仿宋_GB2312" w:eastAsia="仿宋_GB2312"/>
          <w:sz w:val="32"/>
          <w:szCs w:val="32"/>
        </w:rPr>
        <w:t>飞虱</w:t>
      </w:r>
      <w:r>
        <w:rPr>
          <w:rFonts w:ascii="仿宋_GB2312" w:eastAsia="仿宋_GB2312"/>
          <w:sz w:val="32"/>
          <w:szCs w:val="32"/>
        </w:rPr>
        <w:t>、</w:t>
      </w:r>
      <w:r>
        <w:rPr>
          <w:rFonts w:hint="eastAsia" w:ascii="仿宋_GB2312" w:eastAsia="仿宋_GB2312"/>
          <w:sz w:val="32"/>
          <w:szCs w:val="32"/>
        </w:rPr>
        <w:t>甜菜夜蛾</w:t>
      </w:r>
      <w:r>
        <w:rPr>
          <w:rFonts w:ascii="仿宋_GB2312" w:eastAsia="仿宋_GB2312"/>
          <w:sz w:val="32"/>
          <w:szCs w:val="32"/>
        </w:rPr>
        <w:t>、草地贪夜蛾</w:t>
      </w:r>
      <w:r>
        <w:rPr>
          <w:rFonts w:hint="eastAsia" w:ascii="仿宋_GB2312" w:eastAsia="仿宋_GB2312"/>
          <w:sz w:val="32"/>
          <w:szCs w:val="32"/>
        </w:rPr>
        <w:t>等</w:t>
      </w:r>
      <w:r>
        <w:rPr>
          <w:rFonts w:ascii="仿宋_GB2312" w:eastAsia="仿宋_GB2312"/>
          <w:sz w:val="32"/>
          <w:szCs w:val="32"/>
        </w:rPr>
        <w:t>苗期</w:t>
      </w:r>
      <w:r>
        <w:rPr>
          <w:rFonts w:hint="eastAsia" w:ascii="仿宋_GB2312" w:eastAsia="仿宋_GB2312"/>
          <w:sz w:val="32"/>
          <w:szCs w:val="32"/>
        </w:rPr>
        <w:t>虫害</w:t>
      </w:r>
      <w:r>
        <w:rPr>
          <w:rFonts w:ascii="仿宋_GB2312" w:eastAsia="仿宋_GB2312"/>
          <w:sz w:val="32"/>
          <w:szCs w:val="32"/>
        </w:rPr>
        <w:t>以及根腐病、茎腐病等土传病害</w:t>
      </w:r>
      <w:r>
        <w:rPr>
          <w:rFonts w:hint="eastAsia" w:ascii="仿宋_GB2312" w:eastAsia="仿宋_GB2312"/>
          <w:sz w:val="32"/>
          <w:szCs w:val="32"/>
        </w:rPr>
        <w:t>；综合利用</w:t>
      </w:r>
      <w:r>
        <w:rPr>
          <w:rFonts w:ascii="仿宋_GB2312" w:eastAsia="仿宋_GB2312"/>
          <w:sz w:val="32"/>
          <w:szCs w:val="32"/>
        </w:rPr>
        <w:t>灯诱、性诱、食诱</w:t>
      </w:r>
      <w:r>
        <w:rPr>
          <w:rFonts w:hint="eastAsia" w:ascii="仿宋_GB2312" w:eastAsia="仿宋_GB2312"/>
          <w:sz w:val="32"/>
          <w:szCs w:val="32"/>
        </w:rPr>
        <w:t>、</w:t>
      </w:r>
      <w:r>
        <w:rPr>
          <w:rFonts w:ascii="仿宋_GB2312" w:eastAsia="仿宋_GB2312"/>
          <w:sz w:val="32"/>
          <w:szCs w:val="32"/>
        </w:rPr>
        <w:t>生物</w:t>
      </w:r>
      <w:r>
        <w:rPr>
          <w:rFonts w:hint="eastAsia" w:ascii="仿宋_GB2312" w:eastAsia="仿宋_GB2312"/>
          <w:sz w:val="32"/>
          <w:szCs w:val="32"/>
        </w:rPr>
        <w:t>农药</w:t>
      </w:r>
      <w:r>
        <w:rPr>
          <w:rFonts w:ascii="仿宋_GB2312" w:eastAsia="仿宋_GB2312"/>
          <w:sz w:val="32"/>
          <w:szCs w:val="32"/>
        </w:rPr>
        <w:t>、人工释放天敌等</w:t>
      </w:r>
      <w:r>
        <w:rPr>
          <w:rFonts w:hint="eastAsia" w:ascii="仿宋_GB2312" w:eastAsia="仿宋_GB2312"/>
          <w:sz w:val="32"/>
          <w:szCs w:val="32"/>
        </w:rPr>
        <w:t>技术</w:t>
      </w:r>
      <w:r>
        <w:rPr>
          <w:rFonts w:ascii="仿宋_GB2312" w:eastAsia="仿宋_GB2312"/>
          <w:sz w:val="32"/>
          <w:szCs w:val="32"/>
        </w:rPr>
        <w:t>控制多种鳞翅目害虫；</w:t>
      </w:r>
      <w:r>
        <w:rPr>
          <w:rFonts w:hint="eastAsia" w:ascii="仿宋_GB2312" w:eastAsia="仿宋_GB2312"/>
          <w:sz w:val="32"/>
          <w:szCs w:val="32"/>
        </w:rPr>
        <w:t>高效低风险</w:t>
      </w:r>
      <w:r>
        <w:rPr>
          <w:rFonts w:ascii="仿宋_GB2312" w:eastAsia="仿宋_GB2312"/>
          <w:sz w:val="32"/>
          <w:szCs w:val="32"/>
        </w:rPr>
        <w:t>药剂防控叶斑</w:t>
      </w:r>
      <w:r>
        <w:rPr>
          <w:rFonts w:hint="eastAsia" w:ascii="仿宋_GB2312" w:eastAsia="仿宋_GB2312"/>
          <w:sz w:val="32"/>
          <w:szCs w:val="32"/>
        </w:rPr>
        <w:t>类</w:t>
      </w:r>
      <w:r>
        <w:rPr>
          <w:rFonts w:ascii="仿宋_GB2312" w:eastAsia="仿宋_GB2312"/>
          <w:sz w:val="32"/>
          <w:szCs w:val="32"/>
        </w:rPr>
        <w:t>病</w:t>
      </w:r>
      <w:r>
        <w:rPr>
          <w:rFonts w:hint="eastAsia" w:ascii="仿宋_GB2312" w:eastAsia="仿宋_GB2312"/>
          <w:sz w:val="32"/>
          <w:szCs w:val="32"/>
        </w:rPr>
        <w:t>害和</w:t>
      </w:r>
      <w:r>
        <w:rPr>
          <w:rFonts w:ascii="仿宋_GB2312" w:eastAsia="仿宋_GB2312"/>
          <w:sz w:val="32"/>
          <w:szCs w:val="32"/>
        </w:rPr>
        <w:t>叶螨</w:t>
      </w:r>
      <w:r>
        <w:rPr>
          <w:rFonts w:hint="eastAsia" w:ascii="仿宋_GB2312" w:eastAsia="仿宋_GB2312"/>
          <w:sz w:val="32"/>
          <w:szCs w:val="32"/>
        </w:rPr>
        <w:t>、</w:t>
      </w:r>
      <w:r>
        <w:rPr>
          <w:rFonts w:ascii="仿宋_GB2312" w:eastAsia="仿宋_GB2312"/>
          <w:sz w:val="32"/>
          <w:szCs w:val="32"/>
        </w:rPr>
        <w:t>蚜虫</w:t>
      </w:r>
      <w:r>
        <w:rPr>
          <w:rFonts w:hint="eastAsia" w:ascii="仿宋_GB2312" w:eastAsia="仿宋_GB2312"/>
          <w:sz w:val="32"/>
          <w:szCs w:val="32"/>
        </w:rPr>
        <w:t>、</w:t>
      </w:r>
      <w:r>
        <w:rPr>
          <w:rFonts w:ascii="仿宋_GB2312" w:eastAsia="仿宋_GB2312"/>
          <w:sz w:val="32"/>
          <w:szCs w:val="32"/>
        </w:rPr>
        <w:t>双斑长</w:t>
      </w:r>
      <w:r>
        <w:rPr>
          <w:rFonts w:hint="eastAsia" w:ascii="Times New Roman" w:hAnsi="Times New Roman" w:eastAsia="仿宋_GB2312"/>
          <w:sz w:val="32"/>
          <w:szCs w:val="32"/>
        </w:rPr>
        <w:t>跗</w:t>
      </w:r>
      <w:r>
        <w:rPr>
          <w:rFonts w:ascii="Times New Roman" w:hAnsi="Times New Roman" w:eastAsia="仿宋_GB2312"/>
          <w:sz w:val="32"/>
          <w:szCs w:val="32"/>
        </w:rPr>
        <w:t>萤叶甲</w:t>
      </w:r>
      <w:r>
        <w:rPr>
          <w:rFonts w:hint="eastAsia" w:ascii="Times New Roman" w:hAnsi="Times New Roman" w:eastAsia="仿宋_GB2312"/>
          <w:sz w:val="32"/>
          <w:szCs w:val="32"/>
        </w:rPr>
        <w:t>等</w:t>
      </w:r>
      <w:r>
        <w:rPr>
          <w:rFonts w:hint="eastAsia" w:ascii="仿宋_GB2312" w:eastAsia="仿宋_GB2312"/>
          <w:sz w:val="32"/>
          <w:szCs w:val="32"/>
        </w:rPr>
        <w:t>；使用</w:t>
      </w:r>
      <w:r>
        <w:rPr>
          <w:rFonts w:ascii="仿宋_GB2312" w:eastAsia="仿宋_GB2312"/>
          <w:sz w:val="32"/>
          <w:szCs w:val="32"/>
        </w:rPr>
        <w:t>高杆作物喷雾机和</w:t>
      </w:r>
      <w:r>
        <w:rPr>
          <w:rFonts w:hint="eastAsia" w:ascii="仿宋_GB2312" w:eastAsia="仿宋_GB2312"/>
          <w:sz w:val="32"/>
          <w:szCs w:val="32"/>
        </w:rPr>
        <w:t>航</w:t>
      </w:r>
      <w:r>
        <w:rPr>
          <w:rFonts w:ascii="仿宋_GB2312" w:eastAsia="仿宋_GB2312"/>
          <w:sz w:val="32"/>
          <w:szCs w:val="32"/>
        </w:rPr>
        <w:t>化作业</w:t>
      </w:r>
      <w:r>
        <w:rPr>
          <w:rFonts w:hint="eastAsia" w:ascii="仿宋_GB2312" w:eastAsia="仿宋_GB2312"/>
          <w:sz w:val="32"/>
          <w:szCs w:val="32"/>
        </w:rPr>
        <w:t>提升</w:t>
      </w:r>
      <w:r>
        <w:rPr>
          <w:rFonts w:ascii="仿宋_GB2312" w:eastAsia="仿宋_GB2312"/>
          <w:sz w:val="32"/>
          <w:szCs w:val="32"/>
        </w:rPr>
        <w:t>玉米中后期病虫害</w:t>
      </w:r>
      <w:r>
        <w:rPr>
          <w:rFonts w:hint="eastAsia" w:ascii="仿宋_GB2312" w:eastAsia="仿宋_GB2312"/>
          <w:sz w:val="32"/>
          <w:szCs w:val="32"/>
        </w:rPr>
        <w:t>防控</w:t>
      </w:r>
      <w:r>
        <w:rPr>
          <w:rFonts w:ascii="仿宋_GB2312" w:eastAsia="仿宋_GB2312"/>
          <w:sz w:val="32"/>
          <w:szCs w:val="32"/>
        </w:rPr>
        <w:t>能力。</w:t>
      </w:r>
    </w:p>
    <w:p>
      <w:pPr>
        <w:widowControl/>
        <w:adjustRightInd w:val="0"/>
        <w:snapToGrid w:val="0"/>
        <w:spacing w:line="600" w:lineRule="exact"/>
        <w:ind w:firstLine="640" w:firstLineChars="200"/>
        <w:rPr>
          <w:rFonts w:ascii="仿宋_GB2312" w:eastAsia="仿宋_GB2312"/>
          <w:sz w:val="32"/>
          <w:szCs w:val="32"/>
        </w:rPr>
      </w:pPr>
      <w:r>
        <w:rPr>
          <w:rFonts w:hint="eastAsia" w:ascii="Times New Roman" w:hAnsi="Times New Roman" w:eastAsia="仿宋_GB2312"/>
          <w:sz w:val="32"/>
          <w:szCs w:val="32"/>
        </w:rPr>
        <w:t>4</w:t>
      </w:r>
      <w:r>
        <w:rPr>
          <w:rFonts w:ascii="Times New Roman" w:hAnsi="Times New Roman" w:eastAsia="仿宋_GB2312"/>
          <w:sz w:val="32"/>
          <w:szCs w:val="32"/>
        </w:rPr>
        <w:t>．</w:t>
      </w:r>
      <w:r>
        <w:rPr>
          <w:rFonts w:hint="eastAsia" w:ascii="Times New Roman" w:hAnsi="Times New Roman" w:eastAsia="仿宋_GB2312"/>
          <w:sz w:val="32"/>
          <w:szCs w:val="32"/>
        </w:rPr>
        <w:t>马铃薯。</w:t>
      </w:r>
      <w:r>
        <w:rPr>
          <w:rFonts w:hint="eastAsia" w:ascii="仿宋_GB2312" w:eastAsia="仿宋_GB2312"/>
          <w:sz w:val="32"/>
          <w:szCs w:val="32"/>
        </w:rPr>
        <w:t>选用抗病脱毒种薯，针对气传、土传、种传病害和储藏期病害以及地上、地下害虫，推广切刀消毒和种薯处理技术，有条件地区推广小整薯技术；利用灯诱、色诱、性诱、食诱等技术防治马铃薯地下害虫和蚜虫、蓟马等；利用生物菌肥、生物农药防治土传病害；推广马铃薯晚疫病监测预警系统，应用高效低毒化学农药防治晚疫病、早疫病等。种薯田集成应用防虫网、黄板、天敌等技术，有效控制蚜虫、蓟马等传毒介体害虫。</w:t>
      </w:r>
    </w:p>
    <w:p>
      <w:pPr>
        <w:widowControl/>
        <w:adjustRightInd w:val="0"/>
        <w:snapToGrid w:val="0"/>
        <w:spacing w:line="600" w:lineRule="exact"/>
        <w:ind w:firstLine="640" w:firstLineChars="200"/>
        <w:rPr>
          <w:rFonts w:ascii="仿宋_GB2312" w:eastAsia="仿宋_GB2312"/>
          <w:sz w:val="32"/>
          <w:szCs w:val="32"/>
        </w:rPr>
      </w:pPr>
      <w:r>
        <w:rPr>
          <w:rFonts w:hint="eastAsia" w:ascii="Times New Roman" w:hAnsi="Times New Roman" w:eastAsia="仿宋_GB2312"/>
          <w:sz w:val="32"/>
          <w:szCs w:val="32"/>
        </w:rPr>
        <w:t>5</w:t>
      </w:r>
      <w:r>
        <w:rPr>
          <w:rFonts w:ascii="Times New Roman" w:hAnsi="Times New Roman" w:eastAsia="仿宋_GB2312"/>
          <w:sz w:val="32"/>
          <w:szCs w:val="32"/>
        </w:rPr>
        <w:t>．蔬菜。选用抗性品种以及清洁田园、合理轮作等农业措施；采用翻耕土壤</w:t>
      </w:r>
      <w:r>
        <w:rPr>
          <w:rFonts w:hint="eastAsia" w:ascii="仿宋_GB2312" w:eastAsia="仿宋_GB2312"/>
          <w:sz w:val="32"/>
          <w:szCs w:val="32"/>
        </w:rPr>
        <w:t>、</w:t>
      </w:r>
      <w:r>
        <w:rPr>
          <w:rFonts w:ascii="仿宋_GB2312" w:eastAsia="仿宋_GB2312"/>
          <w:sz w:val="32"/>
          <w:szCs w:val="32"/>
        </w:rPr>
        <w:t>覆膜进行太阳能消毒</w:t>
      </w:r>
      <w:r>
        <w:rPr>
          <w:rFonts w:hint="eastAsia" w:ascii="仿宋_GB2312" w:eastAsia="仿宋_GB2312"/>
          <w:sz w:val="32"/>
          <w:szCs w:val="32"/>
        </w:rPr>
        <w:t>以及生防菌剂处理土壤</w:t>
      </w:r>
      <w:r>
        <w:rPr>
          <w:rFonts w:ascii="仿宋_GB2312" w:eastAsia="仿宋_GB2312"/>
          <w:sz w:val="32"/>
          <w:szCs w:val="32"/>
        </w:rPr>
        <w:t>防治土传病害；氨基寡糖素等诱抗剂提高蔬菜抗病性；性诱剂防治甜菜夜蛾、小菜蛾等；</w:t>
      </w:r>
      <w:r>
        <w:rPr>
          <w:rFonts w:hint="eastAsia" w:ascii="仿宋_GB2312" w:eastAsia="仿宋_GB2312"/>
          <w:sz w:val="32"/>
          <w:szCs w:val="32"/>
        </w:rPr>
        <w:t>利用捕食螨、丽蚜小蜂、小花蝽等天敌昆虫防治</w:t>
      </w:r>
      <w:r>
        <w:rPr>
          <w:rFonts w:ascii="仿宋_GB2312" w:eastAsia="仿宋_GB2312"/>
          <w:sz w:val="32"/>
          <w:szCs w:val="32"/>
        </w:rPr>
        <w:t>粉虱、蓟马等；防虫网阻隔鳞翅目害虫、粉虱等害虫；</w:t>
      </w:r>
      <w:r>
        <w:rPr>
          <w:rFonts w:hint="eastAsia" w:ascii="仿宋_GB2312" w:eastAsia="仿宋_GB2312"/>
          <w:sz w:val="32"/>
          <w:szCs w:val="32"/>
        </w:rPr>
        <w:t>优先</w:t>
      </w:r>
      <w:r>
        <w:rPr>
          <w:rFonts w:ascii="仿宋_GB2312" w:eastAsia="仿宋_GB2312"/>
          <w:sz w:val="32"/>
          <w:szCs w:val="32"/>
        </w:rPr>
        <w:t>选</w:t>
      </w:r>
      <w:r>
        <w:rPr>
          <w:rFonts w:ascii="Times New Roman" w:hAnsi="Times New Roman" w:eastAsia="仿宋_GB2312"/>
          <w:sz w:val="32"/>
          <w:szCs w:val="32"/>
        </w:rPr>
        <w:t>用</w:t>
      </w:r>
      <w:r>
        <w:rPr>
          <w:rFonts w:ascii="仿宋_GB2312" w:eastAsia="仿宋_GB2312"/>
          <w:sz w:val="32"/>
          <w:szCs w:val="32"/>
        </w:rPr>
        <w:t>枯草芽孢杆菌</w:t>
      </w:r>
      <w:r>
        <w:rPr>
          <w:rFonts w:hint="eastAsia" w:ascii="仿宋_GB2312" w:eastAsia="仿宋_GB2312"/>
          <w:sz w:val="32"/>
          <w:szCs w:val="32"/>
        </w:rPr>
        <w:t>、木霉菌、多粘类芽孢杆菌、</w:t>
      </w:r>
      <w:r>
        <w:rPr>
          <w:rFonts w:hint="eastAsia" w:ascii="Times New Roman" w:hAnsi="Times New Roman" w:eastAsia="仿宋_GB2312"/>
          <w:sz w:val="32"/>
          <w:szCs w:val="32"/>
        </w:rPr>
        <w:t>昆虫病原病毒制剂</w:t>
      </w:r>
      <w:r>
        <w:rPr>
          <w:rFonts w:ascii="Times New Roman" w:hAnsi="Times New Roman" w:eastAsia="仿宋_GB2312"/>
          <w:sz w:val="32"/>
          <w:szCs w:val="32"/>
        </w:rPr>
        <w:t>、</w:t>
      </w:r>
      <w:r>
        <w:rPr>
          <w:rFonts w:hint="eastAsia" w:ascii="仿宋_GB2312" w:eastAsia="仿宋_GB2312"/>
          <w:sz w:val="32"/>
          <w:szCs w:val="32"/>
        </w:rPr>
        <w:t>短稳杆菌、苏云金杆菌、金龟子绿僵菌、球孢白僵菌、昆虫病原线虫、</w:t>
      </w:r>
      <w:r>
        <w:rPr>
          <w:rFonts w:ascii="仿宋_GB2312" w:eastAsia="仿宋_GB2312"/>
          <w:sz w:val="32"/>
          <w:szCs w:val="32"/>
        </w:rPr>
        <w:t>寡雄腐霉</w:t>
      </w:r>
      <w:r>
        <w:rPr>
          <w:rFonts w:hint="eastAsia" w:ascii="仿宋_GB2312" w:eastAsia="仿宋_GB2312"/>
          <w:sz w:val="32"/>
          <w:szCs w:val="32"/>
        </w:rPr>
        <w:t>菌、天然除虫菊素、苦参碱、蛇床子素、狼毒素、苦皮藤素、印楝素等</w:t>
      </w:r>
      <w:r>
        <w:rPr>
          <w:rFonts w:ascii="仿宋_GB2312" w:eastAsia="仿宋_GB2312"/>
          <w:sz w:val="32"/>
          <w:szCs w:val="32"/>
        </w:rPr>
        <w:t>药剂防治病虫害。</w:t>
      </w:r>
    </w:p>
    <w:p>
      <w:pPr>
        <w:autoSpaceDE w:val="0"/>
        <w:autoSpaceDN w:val="0"/>
        <w:adjustRightInd w:val="0"/>
        <w:snapToGrid w:val="0"/>
        <w:spacing w:line="600" w:lineRule="exact"/>
        <w:ind w:firstLine="640" w:firstLineChars="200"/>
        <w:rPr>
          <w:rFonts w:ascii="仿宋_GB2312" w:eastAsia="仿宋_GB2312"/>
          <w:sz w:val="32"/>
          <w:szCs w:val="32"/>
        </w:rPr>
      </w:pPr>
      <w:r>
        <w:rPr>
          <w:rFonts w:hint="eastAsia" w:ascii="Times New Roman" w:hAnsi="Times New Roman" w:eastAsia="仿宋_GB2312"/>
          <w:sz w:val="32"/>
          <w:szCs w:val="32"/>
        </w:rPr>
        <w:t>6</w:t>
      </w:r>
      <w:r>
        <w:rPr>
          <w:rFonts w:ascii="Times New Roman" w:hAnsi="Times New Roman" w:eastAsia="仿宋_GB2312"/>
          <w:sz w:val="32"/>
          <w:szCs w:val="32"/>
        </w:rPr>
        <w:t>．果树</w:t>
      </w:r>
      <w:r>
        <w:rPr>
          <w:rFonts w:hint="eastAsia" w:ascii="仿宋_GB2312" w:eastAsia="仿宋_GB2312"/>
          <w:sz w:val="32"/>
          <w:szCs w:val="32"/>
        </w:rPr>
        <w:t>。采用</w:t>
      </w:r>
      <w:r>
        <w:rPr>
          <w:rFonts w:ascii="仿宋_GB2312" w:eastAsia="仿宋_GB2312"/>
          <w:sz w:val="32"/>
          <w:szCs w:val="32"/>
        </w:rPr>
        <w:t>冬季清园和主干涂白防治越冬病虫，捡拾处理病虫果压低病虫基数；</w:t>
      </w:r>
      <w:r>
        <w:rPr>
          <w:rFonts w:hint="eastAsia" w:ascii="仿宋_GB2312" w:eastAsia="仿宋_GB2312"/>
          <w:sz w:val="32"/>
          <w:szCs w:val="32"/>
        </w:rPr>
        <w:t>采</w:t>
      </w:r>
      <w:r>
        <w:rPr>
          <w:rFonts w:ascii="仿宋_GB2312" w:eastAsia="仿宋_GB2312"/>
          <w:sz w:val="32"/>
          <w:szCs w:val="32"/>
        </w:rPr>
        <w:t>用氨基寡糖素等免疫诱抗剂提高树体抗病性；在</w:t>
      </w:r>
      <w:r>
        <w:rPr>
          <w:rFonts w:hint="eastAsia" w:ascii="仿宋_GB2312" w:eastAsia="仿宋_GB2312"/>
          <w:sz w:val="32"/>
          <w:szCs w:val="32"/>
        </w:rPr>
        <w:t>果园</w:t>
      </w:r>
      <w:r>
        <w:rPr>
          <w:rFonts w:ascii="仿宋_GB2312" w:eastAsia="仿宋_GB2312"/>
          <w:sz w:val="32"/>
          <w:szCs w:val="32"/>
        </w:rPr>
        <w:t>种草</w:t>
      </w:r>
      <w:r>
        <w:rPr>
          <w:rFonts w:hint="eastAsia" w:ascii="仿宋_GB2312" w:eastAsia="仿宋_GB2312"/>
          <w:sz w:val="32"/>
          <w:szCs w:val="32"/>
        </w:rPr>
        <w:t>或间作套种伴生作物</w:t>
      </w:r>
      <w:r>
        <w:rPr>
          <w:rFonts w:ascii="仿宋_GB2312" w:eastAsia="仿宋_GB2312"/>
          <w:sz w:val="32"/>
          <w:szCs w:val="32"/>
        </w:rPr>
        <w:t>，</w:t>
      </w:r>
      <w:r>
        <w:rPr>
          <w:rFonts w:hint="eastAsia" w:ascii="仿宋_GB2312" w:eastAsia="仿宋_GB2312"/>
          <w:sz w:val="32"/>
          <w:szCs w:val="32"/>
        </w:rPr>
        <w:t>保护和利用自然天敌控害</w:t>
      </w:r>
      <w:r>
        <w:rPr>
          <w:rFonts w:ascii="仿宋_GB2312" w:eastAsia="仿宋_GB2312"/>
          <w:sz w:val="32"/>
          <w:szCs w:val="32"/>
        </w:rPr>
        <w:t>；利用性</w:t>
      </w:r>
      <w:r>
        <w:rPr>
          <w:rFonts w:hint="eastAsia" w:ascii="仿宋_GB2312" w:eastAsia="仿宋_GB2312"/>
          <w:sz w:val="32"/>
          <w:szCs w:val="32"/>
        </w:rPr>
        <w:t>信息素防治</w:t>
      </w:r>
      <w:r>
        <w:rPr>
          <w:rFonts w:ascii="仿宋_GB2312" w:eastAsia="仿宋_GB2312"/>
          <w:sz w:val="32"/>
          <w:szCs w:val="32"/>
        </w:rPr>
        <w:t>梨小食心虫、苹小卷叶蛾、柑橘潜叶蛾等</w:t>
      </w:r>
      <w:r>
        <w:rPr>
          <w:rFonts w:hint="eastAsia" w:ascii="仿宋_GB2312" w:eastAsia="仿宋_GB2312"/>
          <w:sz w:val="32"/>
          <w:szCs w:val="32"/>
        </w:rPr>
        <w:t>害虫；采用蛋白</w:t>
      </w:r>
      <w:r>
        <w:rPr>
          <w:rFonts w:ascii="仿宋_GB2312" w:eastAsia="仿宋_GB2312"/>
          <w:sz w:val="32"/>
          <w:szCs w:val="32"/>
        </w:rPr>
        <w:t>饵剂等诱剂防治实蝇</w:t>
      </w:r>
      <w:r>
        <w:rPr>
          <w:rFonts w:hint="eastAsia" w:ascii="仿宋_GB2312" w:eastAsia="仿宋_GB2312"/>
          <w:sz w:val="32"/>
          <w:szCs w:val="32"/>
        </w:rPr>
        <w:t>类害虫</w:t>
      </w:r>
      <w:r>
        <w:rPr>
          <w:rFonts w:ascii="仿宋_GB2312" w:eastAsia="仿宋_GB2312"/>
          <w:sz w:val="32"/>
          <w:szCs w:val="32"/>
        </w:rPr>
        <w:t>；秋季在树干基部捆绑诱虫带，诱杀越冬害虫；</w:t>
      </w:r>
      <w:r>
        <w:rPr>
          <w:rFonts w:hint="eastAsia" w:ascii="仿宋_GB2312" w:eastAsia="仿宋_GB2312"/>
          <w:sz w:val="32"/>
          <w:szCs w:val="32"/>
        </w:rPr>
        <w:t>优先</w:t>
      </w:r>
      <w:r>
        <w:rPr>
          <w:rFonts w:ascii="仿宋_GB2312" w:eastAsia="仿宋_GB2312"/>
          <w:sz w:val="32"/>
          <w:szCs w:val="32"/>
        </w:rPr>
        <w:t>选用</w:t>
      </w:r>
      <w:r>
        <w:rPr>
          <w:rFonts w:hint="eastAsia" w:ascii="仿宋_GB2312" w:eastAsia="仿宋_GB2312"/>
          <w:sz w:val="32"/>
          <w:szCs w:val="32"/>
        </w:rPr>
        <w:t>捕食螨、昆虫病原线虫、</w:t>
      </w:r>
      <w:r>
        <w:rPr>
          <w:rFonts w:ascii="仿宋_GB2312" w:eastAsia="仿宋_GB2312"/>
          <w:sz w:val="32"/>
          <w:szCs w:val="32"/>
        </w:rPr>
        <w:t>寡雄腐霉</w:t>
      </w:r>
      <w:r>
        <w:rPr>
          <w:rFonts w:hint="eastAsia" w:ascii="仿宋_GB2312" w:eastAsia="仿宋_GB2312"/>
          <w:sz w:val="32"/>
          <w:szCs w:val="32"/>
        </w:rPr>
        <w:t>菌、苏云金杆菌、枯草芽孢杆菌、天然除虫菊素、多抗霉素、印楝素等天敌和生物药剂</w:t>
      </w:r>
      <w:r>
        <w:rPr>
          <w:rFonts w:ascii="仿宋_GB2312" w:eastAsia="仿宋_GB2312"/>
          <w:sz w:val="32"/>
          <w:szCs w:val="32"/>
        </w:rPr>
        <w:t>防治病虫害</w:t>
      </w:r>
      <w:r>
        <w:rPr>
          <w:rFonts w:hint="eastAsia" w:ascii="仿宋_GB2312" w:eastAsia="仿宋_GB2312"/>
          <w:sz w:val="32"/>
          <w:szCs w:val="32"/>
        </w:rPr>
        <w:t>。</w:t>
      </w:r>
    </w:p>
    <w:p>
      <w:pPr>
        <w:widowControl/>
        <w:adjustRightInd w:val="0"/>
        <w:snapToGrid w:val="0"/>
        <w:spacing w:line="600" w:lineRule="exact"/>
        <w:ind w:firstLine="640" w:firstLineChars="200"/>
        <w:rPr>
          <w:rFonts w:ascii="仿宋_GB2312" w:eastAsia="仿宋_GB2312"/>
          <w:sz w:val="32"/>
          <w:szCs w:val="32"/>
        </w:rPr>
      </w:pPr>
      <w:r>
        <w:rPr>
          <w:rFonts w:hint="eastAsia" w:ascii="Times New Roman" w:hAnsi="Times New Roman" w:eastAsia="仿宋_GB2312"/>
          <w:sz w:val="32"/>
          <w:szCs w:val="32"/>
        </w:rPr>
        <w:t>7</w:t>
      </w:r>
      <w:r>
        <w:rPr>
          <w:rFonts w:ascii="Times New Roman" w:hAnsi="Times New Roman" w:eastAsia="仿宋_GB2312"/>
          <w:sz w:val="32"/>
          <w:szCs w:val="32"/>
        </w:rPr>
        <w:t>．茶叶。采用茶园四周种植万寿菊、芝麻、三叶草等蜜源植物，茶园行间种植遮阴树木、花卉植物等生态调控技术；通过</w:t>
      </w:r>
      <w:r>
        <w:rPr>
          <w:rFonts w:ascii="仿宋_GB2312" w:eastAsia="仿宋_GB2312"/>
          <w:sz w:val="32"/>
          <w:szCs w:val="32"/>
        </w:rPr>
        <w:t>优化品种、加强培管、科学施肥、中耕除草、合理修剪、清洁</w:t>
      </w:r>
      <w:r>
        <w:rPr>
          <w:rFonts w:hint="eastAsia" w:ascii="仿宋_GB2312" w:eastAsia="仿宋_GB2312"/>
          <w:sz w:val="32"/>
          <w:szCs w:val="32"/>
        </w:rPr>
        <w:t>茶</w:t>
      </w:r>
      <w:r>
        <w:rPr>
          <w:rFonts w:ascii="仿宋_GB2312" w:eastAsia="仿宋_GB2312"/>
          <w:sz w:val="32"/>
          <w:szCs w:val="32"/>
        </w:rPr>
        <w:t>园等措施，实现健身栽培</w:t>
      </w:r>
      <w:r>
        <w:rPr>
          <w:rFonts w:hint="eastAsia" w:ascii="仿宋_GB2312" w:eastAsia="仿宋_GB2312"/>
          <w:sz w:val="32"/>
          <w:szCs w:val="32"/>
        </w:rPr>
        <w:t>；采用智能声光物理防控技术、</w:t>
      </w:r>
      <w:r>
        <w:rPr>
          <w:rFonts w:ascii="仿宋_GB2312" w:eastAsia="仿宋_GB2312"/>
          <w:sz w:val="32"/>
          <w:szCs w:val="32"/>
        </w:rPr>
        <w:t>太阳能杀虫灯应用技术</w:t>
      </w:r>
      <w:r>
        <w:rPr>
          <w:rFonts w:hint="eastAsia" w:ascii="仿宋_GB2312" w:eastAsia="仿宋_GB2312"/>
          <w:sz w:val="32"/>
          <w:szCs w:val="32"/>
        </w:rPr>
        <w:t>、</w:t>
      </w:r>
      <w:r>
        <w:rPr>
          <w:rFonts w:ascii="仿宋_GB2312" w:eastAsia="仿宋_GB2312"/>
          <w:sz w:val="32"/>
          <w:szCs w:val="32"/>
        </w:rPr>
        <w:t>信息素板诱杀技术</w:t>
      </w:r>
      <w:r>
        <w:rPr>
          <w:rFonts w:hint="eastAsia" w:ascii="仿宋_GB2312" w:eastAsia="仿宋_GB2312"/>
          <w:sz w:val="32"/>
          <w:szCs w:val="32"/>
        </w:rPr>
        <w:t>、</w:t>
      </w:r>
      <w:r>
        <w:rPr>
          <w:rFonts w:ascii="仿宋_GB2312" w:eastAsia="仿宋_GB2312"/>
          <w:sz w:val="32"/>
          <w:szCs w:val="32"/>
        </w:rPr>
        <w:t>捕食螨应用技术</w:t>
      </w:r>
      <w:r>
        <w:rPr>
          <w:rFonts w:hint="eastAsia" w:ascii="仿宋_GB2312" w:eastAsia="仿宋_GB2312"/>
          <w:sz w:val="32"/>
          <w:szCs w:val="32"/>
        </w:rPr>
        <w:t>、氨基寡糖素</w:t>
      </w:r>
      <w:r>
        <w:rPr>
          <w:rFonts w:ascii="仿宋_GB2312" w:eastAsia="仿宋_GB2312"/>
          <w:sz w:val="32"/>
          <w:szCs w:val="32"/>
        </w:rPr>
        <w:t>抗逆抗病增产应用技术</w:t>
      </w:r>
      <w:r>
        <w:rPr>
          <w:rFonts w:ascii="Times New Roman" w:hAnsi="Times New Roman" w:eastAsia="仿宋_GB2312"/>
          <w:sz w:val="32"/>
          <w:szCs w:val="32"/>
        </w:rPr>
        <w:t>、</w:t>
      </w:r>
      <w:r>
        <w:rPr>
          <w:rFonts w:hint="eastAsia" w:ascii="Times New Roman" w:hAnsi="Times New Roman" w:eastAsia="仿宋_GB2312"/>
          <w:sz w:val="32"/>
          <w:szCs w:val="32"/>
        </w:rPr>
        <w:t>昆虫病原病毒制剂</w:t>
      </w:r>
      <w:r>
        <w:rPr>
          <w:rFonts w:ascii="Times New Roman" w:hAnsi="Times New Roman" w:eastAsia="仿宋_GB2312"/>
          <w:sz w:val="32"/>
          <w:szCs w:val="32"/>
        </w:rPr>
        <w:t>、</w:t>
      </w:r>
      <w:r>
        <w:rPr>
          <w:rFonts w:hint="eastAsia" w:ascii="Times New Roman" w:hAnsi="Times New Roman" w:eastAsia="仿宋_GB2312"/>
          <w:sz w:val="32"/>
          <w:szCs w:val="32"/>
        </w:rPr>
        <w:t>苏云金杆菌</w:t>
      </w:r>
      <w:r>
        <w:rPr>
          <w:rFonts w:ascii="仿宋_GB2312" w:eastAsia="仿宋_GB2312"/>
          <w:sz w:val="32"/>
          <w:szCs w:val="32"/>
        </w:rPr>
        <w:t>、天然除虫菊素、</w:t>
      </w:r>
      <w:r>
        <w:rPr>
          <w:rFonts w:hint="eastAsia" w:ascii="仿宋_GB2312" w:eastAsia="仿宋_GB2312"/>
          <w:sz w:val="32"/>
          <w:szCs w:val="32"/>
        </w:rPr>
        <w:t>印楝素、</w:t>
      </w:r>
      <w:r>
        <w:rPr>
          <w:rFonts w:ascii="仿宋_GB2312" w:eastAsia="仿宋_GB2312"/>
          <w:sz w:val="32"/>
          <w:szCs w:val="32"/>
        </w:rPr>
        <w:t>苦参碱</w:t>
      </w:r>
      <w:r>
        <w:rPr>
          <w:rFonts w:hint="eastAsia" w:ascii="仿宋_GB2312" w:eastAsia="仿宋_GB2312"/>
          <w:sz w:val="32"/>
          <w:szCs w:val="32"/>
        </w:rPr>
        <w:t>等生物</w:t>
      </w:r>
      <w:r>
        <w:rPr>
          <w:rFonts w:ascii="仿宋_GB2312" w:eastAsia="仿宋_GB2312"/>
          <w:sz w:val="32"/>
          <w:szCs w:val="32"/>
        </w:rPr>
        <w:t>农药防治技术</w:t>
      </w:r>
      <w:r>
        <w:rPr>
          <w:rFonts w:hint="eastAsia" w:ascii="仿宋_GB2312" w:eastAsia="仿宋_GB2312"/>
          <w:sz w:val="32"/>
          <w:szCs w:val="32"/>
        </w:rPr>
        <w:t>。</w:t>
      </w:r>
    </w:p>
    <w:p>
      <w:pPr>
        <w:widowControl/>
        <w:adjustRightInd w:val="0"/>
        <w:snapToGrid w:val="0"/>
        <w:spacing w:line="600" w:lineRule="exact"/>
        <w:ind w:firstLine="640" w:firstLineChars="200"/>
        <w:rPr>
          <w:rFonts w:ascii="仿宋_GB2312" w:eastAsia="仿宋_GB2312"/>
          <w:sz w:val="32"/>
          <w:szCs w:val="32"/>
        </w:rPr>
      </w:pPr>
      <w:r>
        <w:rPr>
          <w:rFonts w:hint="eastAsia" w:ascii="Times New Roman" w:hAnsi="Times New Roman" w:eastAsia="仿宋_GB2312"/>
          <w:sz w:val="32"/>
          <w:szCs w:val="32"/>
        </w:rPr>
        <w:t>8</w:t>
      </w:r>
      <w:r>
        <w:rPr>
          <w:rFonts w:ascii="Times New Roman" w:hAnsi="Times New Roman" w:eastAsia="仿宋_GB2312"/>
          <w:sz w:val="32"/>
          <w:szCs w:val="32"/>
        </w:rPr>
        <w:t>．</w:t>
      </w:r>
      <w:r>
        <w:rPr>
          <w:rFonts w:hint="eastAsia" w:ascii="Times New Roman" w:hAnsi="Times New Roman" w:eastAsia="仿宋_GB2312"/>
          <w:sz w:val="32"/>
          <w:szCs w:val="32"/>
        </w:rPr>
        <w:t>棉花。</w:t>
      </w:r>
      <w:r>
        <w:rPr>
          <w:rFonts w:hint="eastAsia" w:ascii="仿宋_GB2312" w:eastAsia="仿宋_GB2312"/>
          <w:sz w:val="32"/>
          <w:szCs w:val="32"/>
        </w:rPr>
        <w:t>优先采用抗（耐）性品种，种植蜜源和天敌库源植物等生物多样性和生态调控，自然天敌保护利用、秋翻冬灌、种子处理等基础性技术措施；针对病虫害种类和程度，采用微生物农药、性诱和食诱等昆虫信息素、释放赤眼蜂和捕食螨等人工天敌等措施，以及棉铃虫核型多角体病毒、甘蓝夜蛾核型多角体病毒、斜纹夜蛾核型多角体病毒、短稳杆菌、苏云金杆菌、球孢白僵菌、</w:t>
      </w:r>
      <w:r>
        <w:rPr>
          <w:rFonts w:ascii="仿宋_GB2312" w:eastAsia="仿宋_GB2312"/>
          <w:sz w:val="32"/>
          <w:szCs w:val="32"/>
        </w:rPr>
        <w:t>多抗霉素、枯草芽孢杆菌</w:t>
      </w:r>
      <w:r>
        <w:rPr>
          <w:rFonts w:hint="eastAsia" w:ascii="仿宋_GB2312" w:eastAsia="仿宋_GB2312"/>
          <w:sz w:val="32"/>
          <w:szCs w:val="32"/>
        </w:rPr>
        <w:t>等微生物农药。</w:t>
      </w:r>
    </w:p>
    <w:p>
      <w:pPr>
        <w:adjustRightInd w:val="0"/>
        <w:snapToGrid w:val="0"/>
        <w:spacing w:line="600" w:lineRule="exact"/>
        <w:ind w:firstLine="643" w:firstLineChars="200"/>
        <w:rPr>
          <w:rFonts w:ascii="Times New Roman" w:hAnsi="Times New Roman" w:eastAsia="仿宋_GB2312"/>
          <w:kern w:val="0"/>
          <w:sz w:val="32"/>
          <w:szCs w:val="32"/>
        </w:rPr>
      </w:pPr>
      <w:r>
        <w:rPr>
          <w:rFonts w:hint="eastAsia" w:ascii="楷体_GB2312" w:hAnsi="宋体" w:eastAsia="楷体_GB2312"/>
          <w:b/>
          <w:sz w:val="32"/>
          <w:szCs w:val="32"/>
        </w:rPr>
        <w:t>（三）实施全程示范管理。</w:t>
      </w:r>
      <w:r>
        <w:rPr>
          <w:rFonts w:hint="eastAsia" w:ascii="Times New Roman" w:hAnsi="Times New Roman" w:eastAsia="仿宋_GB2312"/>
          <w:kern w:val="0"/>
          <w:sz w:val="32"/>
          <w:szCs w:val="32"/>
        </w:rPr>
        <w:t>对县域范围内的规模化生产的大户、家庭农场、合作社、农业龙头企业等新型经营主体进行在册管理，建立田间生产管理档案，全程记录病虫害防控措施，建立数据库。</w:t>
      </w:r>
    </w:p>
    <w:p>
      <w:pPr>
        <w:spacing w:line="600" w:lineRule="exact"/>
        <w:ind w:firstLine="645"/>
        <w:rPr>
          <w:rFonts w:ascii="黑体" w:hAnsi="黑体" w:eastAsia="黑体"/>
          <w:sz w:val="32"/>
          <w:szCs w:val="32"/>
        </w:rPr>
      </w:pPr>
      <w:r>
        <w:rPr>
          <w:rFonts w:hint="eastAsia" w:ascii="黑体" w:hAnsi="黑体" w:eastAsia="黑体"/>
          <w:sz w:val="32"/>
          <w:szCs w:val="32"/>
        </w:rPr>
        <w:t>四、考核指标</w:t>
      </w:r>
    </w:p>
    <w:p>
      <w:pPr>
        <w:spacing w:line="600" w:lineRule="exact"/>
        <w:ind w:firstLine="630"/>
        <w:rPr>
          <w:rFonts w:ascii="仿宋_GB2312" w:hAnsi="宋体" w:eastAsia="仿宋_GB2312"/>
          <w:sz w:val="32"/>
          <w:szCs w:val="32"/>
        </w:rPr>
      </w:pPr>
      <w:r>
        <w:rPr>
          <w:rFonts w:hint="eastAsia" w:ascii="仿宋_GB2312" w:hAnsi="宋体" w:eastAsia="仿宋_GB2312"/>
          <w:sz w:val="32"/>
          <w:szCs w:val="32"/>
        </w:rPr>
        <w:t>创建地点符合粮食生产功能区、重要农产品生产保护区和特色农产品优势区，以及农产品品牌基地等县域要求。具体考核指标：</w:t>
      </w:r>
      <w:r>
        <w:rPr>
          <w:rFonts w:ascii="Times New Roman" w:hAnsi="Times New Roman" w:eastAsia="仿宋_GB2312"/>
          <w:sz w:val="32"/>
          <w:szCs w:val="32"/>
        </w:rPr>
        <w:t>示范县总体绿色防控覆盖率达到</w:t>
      </w:r>
      <w:r>
        <w:rPr>
          <w:rFonts w:hint="eastAsia" w:ascii="Times New Roman" w:hAnsi="Times New Roman" w:eastAsia="仿宋_GB2312"/>
          <w:sz w:val="32"/>
          <w:szCs w:val="32"/>
        </w:rPr>
        <w:t>6</w:t>
      </w:r>
      <w:r>
        <w:rPr>
          <w:rFonts w:ascii="Times New Roman" w:hAnsi="Times New Roman" w:eastAsia="仿宋_GB2312"/>
          <w:sz w:val="32"/>
          <w:szCs w:val="32"/>
        </w:rPr>
        <w:t>0%以上</w:t>
      </w:r>
      <w:r>
        <w:rPr>
          <w:rFonts w:hint="eastAsia" w:ascii="Times New Roman" w:hAnsi="Times New Roman" w:eastAsia="仿宋_GB2312"/>
          <w:sz w:val="32"/>
          <w:szCs w:val="32"/>
        </w:rPr>
        <w:t>，绿色防控覆盖区</w:t>
      </w:r>
      <w:r>
        <w:rPr>
          <w:rFonts w:ascii="Times New Roman" w:hAnsi="Times New Roman" w:eastAsia="仿宋_GB2312"/>
          <w:sz w:val="32"/>
          <w:szCs w:val="32"/>
        </w:rPr>
        <w:t>化学农药用量减少30%以上；注重技术有效性，病虫害综合防控效果达到80%以上，危害损失率</w:t>
      </w:r>
      <w:r>
        <w:rPr>
          <w:rFonts w:hint="eastAsia" w:ascii="Times New Roman" w:hAnsi="Times New Roman" w:eastAsia="仿宋_GB2312"/>
          <w:sz w:val="32"/>
          <w:szCs w:val="32"/>
        </w:rPr>
        <w:t>粮食控制</w:t>
      </w:r>
      <w:r>
        <w:rPr>
          <w:rFonts w:ascii="Times New Roman" w:hAnsi="Times New Roman" w:eastAsia="仿宋_GB2312"/>
          <w:sz w:val="32"/>
          <w:szCs w:val="32"/>
        </w:rPr>
        <w:t>在</w:t>
      </w:r>
      <w:r>
        <w:rPr>
          <w:rFonts w:hint="eastAsia" w:ascii="Times New Roman" w:hAnsi="Times New Roman" w:eastAsia="仿宋_GB2312"/>
          <w:sz w:val="32"/>
          <w:szCs w:val="32"/>
        </w:rPr>
        <w:t>5%以下，果菜等经济作物控制在</w:t>
      </w:r>
      <w:r>
        <w:rPr>
          <w:rFonts w:ascii="Times New Roman" w:hAnsi="Times New Roman" w:eastAsia="仿宋_GB2312"/>
          <w:sz w:val="32"/>
          <w:szCs w:val="32"/>
        </w:rPr>
        <w:t>10%以</w:t>
      </w:r>
      <w:r>
        <w:rPr>
          <w:rFonts w:hint="eastAsia" w:ascii="Times New Roman" w:hAnsi="Times New Roman" w:eastAsia="仿宋_GB2312"/>
          <w:sz w:val="32"/>
          <w:szCs w:val="32"/>
        </w:rPr>
        <w:t>下</w:t>
      </w:r>
      <w:r>
        <w:rPr>
          <w:rFonts w:ascii="Times New Roman" w:hAnsi="Times New Roman" w:eastAsia="仿宋_GB2312"/>
          <w:sz w:val="32"/>
          <w:szCs w:val="32"/>
        </w:rPr>
        <w:t>；注重推广机制创新，辐射带动效果显著，农户接受绿色防控培训的比例达到30%以上；</w:t>
      </w:r>
      <w:r>
        <w:rPr>
          <w:rFonts w:hint="eastAsia" w:ascii="Times New Roman" w:hAnsi="Times New Roman" w:eastAsia="仿宋_GB2312"/>
          <w:sz w:val="32"/>
          <w:szCs w:val="32"/>
        </w:rPr>
        <w:t>注</w:t>
      </w:r>
      <w:r>
        <w:rPr>
          <w:rFonts w:hint="eastAsia" w:ascii="仿宋_GB2312" w:hAnsi="宋体" w:eastAsia="仿宋_GB2312"/>
          <w:sz w:val="32"/>
          <w:szCs w:val="32"/>
        </w:rPr>
        <w:t>重品牌带动效应，推动绿色、优质农产品品牌的发展；科学合理用药，未违规使用禁限用农药和高毒农药，农产品农药检测低于国家相关标准设定值，防治过程中未发生人畜中毒伤亡事故、重大的环境污染事件、严重药害等事故。</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五、工作进度和要求</w:t>
      </w:r>
    </w:p>
    <w:p>
      <w:pPr>
        <w:adjustRightInd w:val="0"/>
        <w:snapToGrid w:val="0"/>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（一）进度安排</w:t>
      </w:r>
    </w:p>
    <w:p>
      <w:pPr>
        <w:spacing w:line="600" w:lineRule="exact"/>
        <w:ind w:firstLine="643" w:firstLineChars="200"/>
        <w:rPr>
          <w:rFonts w:ascii="Times New Roman" w:hAnsi="Times New Roman" w:eastAsia="仿宋_GB2312"/>
          <w:b/>
          <w:sz w:val="32"/>
          <w:szCs w:val="32"/>
        </w:rPr>
      </w:pPr>
      <w:r>
        <w:rPr>
          <w:rFonts w:hint="eastAsia" w:ascii="Times New Roman" w:hAnsi="Times New Roman" w:eastAsia="仿宋_GB2312"/>
          <w:b/>
          <w:sz w:val="32"/>
          <w:szCs w:val="32"/>
        </w:rPr>
        <w:t>1．2022年3</w:t>
      </w:r>
      <w:r>
        <w:rPr>
          <w:rFonts w:ascii="Times New Roman" w:hAnsi="Times New Roman" w:eastAsia="仿宋_GB2312"/>
          <w:b/>
          <w:sz w:val="32"/>
          <w:szCs w:val="32"/>
        </w:rPr>
        <w:t>月</w:t>
      </w:r>
      <w:r>
        <w:rPr>
          <w:rFonts w:hint="eastAsia" w:ascii="Times New Roman" w:hAnsi="Times New Roman" w:eastAsia="仿宋_GB2312"/>
          <w:b/>
          <w:sz w:val="32"/>
          <w:szCs w:val="32"/>
        </w:rPr>
        <w:t>上旬</w:t>
      </w:r>
      <w:r>
        <w:rPr>
          <w:rFonts w:ascii="Times New Roman" w:hAnsi="Times New Roman" w:eastAsia="仿宋_GB2312"/>
          <w:b/>
          <w:sz w:val="32"/>
          <w:szCs w:val="32"/>
        </w:rPr>
        <w:t>下发工作方案。</w:t>
      </w:r>
      <w:r>
        <w:rPr>
          <w:rFonts w:hint="eastAsia" w:ascii="仿宋_GB2312" w:hAnsi="宋体" w:eastAsia="仿宋_GB2312"/>
          <w:sz w:val="32"/>
          <w:szCs w:val="32"/>
        </w:rPr>
        <w:t>印发创建工作通知和《</w:t>
      </w:r>
      <w:r>
        <w:rPr>
          <w:rFonts w:hint="eastAsia" w:ascii="Times New Roman" w:hAnsi="Times New Roman" w:eastAsia="仿宋_GB2312"/>
          <w:sz w:val="32"/>
          <w:szCs w:val="32"/>
        </w:rPr>
        <w:t>全国农作物病虫害绿色防控示范县创建工作方案》。</w:t>
      </w:r>
    </w:p>
    <w:p>
      <w:pPr>
        <w:spacing w:line="600" w:lineRule="exact"/>
        <w:ind w:firstLine="643" w:firstLineChars="200"/>
        <w:rPr>
          <w:rFonts w:ascii="仿宋_GB2312" w:eastAsia="仿宋_GB2312"/>
          <w:sz w:val="32"/>
          <w:szCs w:val="32"/>
        </w:rPr>
      </w:pPr>
      <w:r>
        <w:rPr>
          <w:rFonts w:hint="eastAsia" w:ascii="Times New Roman" w:hAnsi="Times New Roman" w:eastAsia="仿宋_GB2312"/>
          <w:b/>
          <w:sz w:val="32"/>
          <w:szCs w:val="32"/>
        </w:rPr>
        <w:t>2．2022年3</w:t>
      </w:r>
      <w:r>
        <w:rPr>
          <w:rFonts w:ascii="Times New Roman" w:hAnsi="Times New Roman" w:eastAsia="仿宋_GB2312"/>
          <w:b/>
          <w:sz w:val="32"/>
          <w:szCs w:val="32"/>
        </w:rPr>
        <w:t>月至</w:t>
      </w:r>
      <w:r>
        <w:rPr>
          <w:rFonts w:hint="eastAsia" w:ascii="Times New Roman" w:hAnsi="Times New Roman" w:eastAsia="仿宋_GB2312"/>
          <w:b/>
          <w:sz w:val="32"/>
          <w:szCs w:val="32"/>
        </w:rPr>
        <w:t>12</w:t>
      </w:r>
      <w:r>
        <w:rPr>
          <w:rFonts w:ascii="Times New Roman" w:hAnsi="Times New Roman" w:eastAsia="仿宋_GB2312"/>
          <w:b/>
          <w:sz w:val="32"/>
          <w:szCs w:val="32"/>
        </w:rPr>
        <w:t>月份开展创建。</w:t>
      </w:r>
      <w:r>
        <w:rPr>
          <w:rFonts w:hint="eastAsia" w:ascii="仿宋_GB2312" w:hAnsi="宋体" w:eastAsia="仿宋_GB2312"/>
          <w:sz w:val="32"/>
          <w:szCs w:val="32"/>
        </w:rPr>
        <w:t>各县按照创建目标和要求积极开展</w:t>
      </w:r>
      <w:r>
        <w:rPr>
          <w:rFonts w:hint="eastAsia" w:ascii="仿宋_GB2312" w:eastAsia="仿宋_GB2312"/>
          <w:sz w:val="32"/>
          <w:szCs w:val="32"/>
        </w:rPr>
        <w:t>绿色防控示范县创建活动。</w:t>
      </w:r>
    </w:p>
    <w:p>
      <w:pPr>
        <w:spacing w:line="60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3．2022年</w:t>
      </w:r>
      <w:r>
        <w:rPr>
          <w:rFonts w:ascii="Times New Roman" w:hAnsi="Times New Roman" w:eastAsia="仿宋_GB2312"/>
          <w:b/>
          <w:sz w:val="32"/>
          <w:szCs w:val="32"/>
        </w:rPr>
        <w:t>1</w:t>
      </w:r>
      <w:r>
        <w:rPr>
          <w:rFonts w:hint="eastAsia" w:ascii="Times New Roman" w:hAnsi="Times New Roman" w:eastAsia="仿宋_GB2312"/>
          <w:b/>
          <w:sz w:val="32"/>
          <w:szCs w:val="32"/>
        </w:rPr>
        <w:t>2</w:t>
      </w:r>
      <w:r>
        <w:rPr>
          <w:rFonts w:ascii="Times New Roman" w:hAnsi="Times New Roman" w:eastAsia="仿宋_GB2312"/>
          <w:b/>
          <w:sz w:val="32"/>
          <w:szCs w:val="32"/>
        </w:rPr>
        <w:t>月</w:t>
      </w:r>
      <w:r>
        <w:rPr>
          <w:rFonts w:hint="eastAsia" w:ascii="Times New Roman" w:hAnsi="Times New Roman" w:eastAsia="仿宋_GB2312"/>
          <w:b/>
          <w:sz w:val="32"/>
          <w:szCs w:val="32"/>
        </w:rPr>
        <w:t>底</w:t>
      </w:r>
      <w:r>
        <w:rPr>
          <w:rFonts w:ascii="Times New Roman" w:hAnsi="Times New Roman" w:eastAsia="仿宋_GB2312"/>
          <w:b/>
          <w:sz w:val="32"/>
          <w:szCs w:val="32"/>
        </w:rPr>
        <w:t>组织申报。</w:t>
      </w:r>
      <w:r>
        <w:rPr>
          <w:rFonts w:hint="eastAsia" w:ascii="仿宋_GB2312" w:eastAsia="仿宋_GB2312"/>
          <w:sz w:val="32"/>
          <w:szCs w:val="32"/>
        </w:rPr>
        <w:t>凡是达到绿色防控示范县创建标准的县，均可向省级植保机构申报。填写绿色防控示范县创建申报表（附</w:t>
      </w:r>
      <w:r>
        <w:rPr>
          <w:rFonts w:hint="eastAsia" w:ascii="Times New Roman" w:hAnsi="Times New Roman" w:eastAsia="仿宋_GB2312"/>
          <w:sz w:val="32"/>
          <w:szCs w:val="32"/>
        </w:rPr>
        <w:t>表</w:t>
      </w:r>
      <w:r>
        <w:rPr>
          <w:rFonts w:ascii="Times New Roman" w:hAnsi="Times New Roman" w:eastAsia="仿宋_GB2312"/>
          <w:sz w:val="32"/>
          <w:szCs w:val="32"/>
        </w:rPr>
        <w:t>1），并提交相关佐证材料（附</w:t>
      </w:r>
      <w:r>
        <w:rPr>
          <w:rFonts w:hint="eastAsia" w:ascii="Times New Roman" w:hAnsi="Times New Roman" w:eastAsia="仿宋_GB2312"/>
          <w:sz w:val="32"/>
          <w:szCs w:val="32"/>
        </w:rPr>
        <w:t>表</w:t>
      </w:r>
      <w:r>
        <w:rPr>
          <w:rFonts w:ascii="Times New Roman" w:hAnsi="Times New Roman" w:eastAsia="仿宋_GB2312"/>
          <w:sz w:val="32"/>
          <w:szCs w:val="32"/>
        </w:rPr>
        <w:t>2、3），经同级农业</w:t>
      </w:r>
      <w:r>
        <w:rPr>
          <w:rFonts w:hint="eastAsia" w:ascii="Times New Roman" w:hAnsi="Times New Roman" w:eastAsia="仿宋_GB2312"/>
          <w:sz w:val="32"/>
          <w:szCs w:val="32"/>
        </w:rPr>
        <w:t>农村</w:t>
      </w:r>
      <w:r>
        <w:rPr>
          <w:rFonts w:ascii="Times New Roman" w:hAnsi="Times New Roman" w:eastAsia="仿宋_GB2312"/>
          <w:sz w:val="32"/>
          <w:szCs w:val="32"/>
        </w:rPr>
        <w:t>主管部门审核盖章后，连同参评材料，于20</w:t>
      </w:r>
      <w:r>
        <w:rPr>
          <w:rFonts w:hint="eastAsia" w:ascii="Times New Roman" w:hAnsi="Times New Roman" w:eastAsia="仿宋_GB2312"/>
          <w:sz w:val="32"/>
          <w:szCs w:val="32"/>
        </w:rPr>
        <w:t>22</w:t>
      </w:r>
      <w:r>
        <w:rPr>
          <w:rFonts w:ascii="Times New Roman" w:hAnsi="Times New Roman" w:eastAsia="仿宋_GB2312"/>
          <w:sz w:val="32"/>
          <w:szCs w:val="32"/>
        </w:rPr>
        <w:t>年</w:t>
      </w:r>
      <w:r>
        <w:rPr>
          <w:rFonts w:hint="eastAsia" w:ascii="Times New Roman" w:hAnsi="Times New Roman" w:eastAsia="仿宋_GB2312"/>
          <w:sz w:val="32"/>
          <w:szCs w:val="32"/>
        </w:rPr>
        <w:t>12</w:t>
      </w:r>
      <w:r>
        <w:rPr>
          <w:rFonts w:ascii="Times New Roman" w:hAnsi="Times New Roman" w:eastAsia="仿宋_GB2312"/>
          <w:sz w:val="32"/>
          <w:szCs w:val="32"/>
        </w:rPr>
        <w:t>月</w:t>
      </w:r>
      <w:r>
        <w:rPr>
          <w:rFonts w:hint="eastAsia" w:ascii="Times New Roman" w:hAnsi="Times New Roman" w:eastAsia="仿宋_GB2312"/>
          <w:sz w:val="32"/>
          <w:szCs w:val="32"/>
        </w:rPr>
        <w:t>20</w:t>
      </w:r>
      <w:r>
        <w:rPr>
          <w:rFonts w:ascii="Times New Roman" w:hAnsi="Times New Roman" w:eastAsia="仿宋_GB2312"/>
          <w:sz w:val="32"/>
          <w:szCs w:val="32"/>
        </w:rPr>
        <w:t>日前报送各省（区、市）植保机构。</w:t>
      </w:r>
    </w:p>
    <w:p>
      <w:pPr>
        <w:spacing w:line="600" w:lineRule="exact"/>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4．2023年</w:t>
      </w:r>
      <w:r>
        <w:rPr>
          <w:rFonts w:ascii="Times New Roman" w:hAnsi="Times New Roman" w:eastAsia="仿宋_GB2312"/>
          <w:b/>
          <w:sz w:val="32"/>
          <w:szCs w:val="32"/>
        </w:rPr>
        <w:t>1月份省级审核上报。</w:t>
      </w:r>
      <w:r>
        <w:rPr>
          <w:rFonts w:ascii="Times New Roman" w:hAnsi="Times New Roman" w:eastAsia="仿宋_GB2312"/>
          <w:sz w:val="32"/>
          <w:szCs w:val="32"/>
        </w:rPr>
        <w:t>各省（区、市）植保机构组织本行政辖区参评县进行初步审核</w:t>
      </w:r>
      <w:r>
        <w:rPr>
          <w:rFonts w:hint="eastAsia" w:ascii="Times New Roman" w:hAnsi="Times New Roman" w:eastAsia="仿宋_GB2312"/>
          <w:sz w:val="32"/>
          <w:szCs w:val="32"/>
        </w:rPr>
        <w:t>，</w:t>
      </w:r>
      <w:r>
        <w:rPr>
          <w:rFonts w:ascii="Times New Roman" w:hAnsi="Times New Roman" w:eastAsia="仿宋_GB2312"/>
          <w:sz w:val="32"/>
          <w:szCs w:val="32"/>
        </w:rPr>
        <w:t>并将通过审核的创建县推荐表和参评材料一式两套，于20</w:t>
      </w:r>
      <w:r>
        <w:rPr>
          <w:rFonts w:hint="eastAsia" w:ascii="Times New Roman" w:hAnsi="Times New Roman" w:eastAsia="仿宋_GB2312"/>
          <w:sz w:val="32"/>
          <w:szCs w:val="32"/>
        </w:rPr>
        <w:t>23</w:t>
      </w:r>
      <w:r>
        <w:rPr>
          <w:rFonts w:ascii="Times New Roman" w:hAnsi="Times New Roman" w:eastAsia="仿宋_GB2312"/>
          <w:sz w:val="32"/>
          <w:szCs w:val="32"/>
        </w:rPr>
        <w:t>年1月</w:t>
      </w:r>
      <w:r>
        <w:rPr>
          <w:rFonts w:hint="eastAsia" w:ascii="Times New Roman" w:hAnsi="Times New Roman" w:eastAsia="仿宋_GB2312"/>
          <w:sz w:val="32"/>
          <w:szCs w:val="32"/>
        </w:rPr>
        <w:t>20</w:t>
      </w:r>
      <w:r>
        <w:rPr>
          <w:rFonts w:ascii="Times New Roman" w:hAnsi="Times New Roman" w:eastAsia="仿宋_GB2312"/>
          <w:sz w:val="32"/>
          <w:szCs w:val="32"/>
        </w:rPr>
        <w:t>日前以正式文件报送全国农技中心。</w:t>
      </w:r>
    </w:p>
    <w:p>
      <w:pPr>
        <w:spacing w:line="600" w:lineRule="exact"/>
        <w:ind w:firstLine="643" w:firstLineChars="200"/>
        <w:rPr>
          <w:rFonts w:ascii="仿宋_GB2312" w:hAnsi="宋体" w:eastAsia="仿宋_GB2312"/>
          <w:sz w:val="32"/>
          <w:szCs w:val="32"/>
        </w:rPr>
      </w:pPr>
      <w:r>
        <w:rPr>
          <w:rFonts w:hint="eastAsia" w:ascii="Times New Roman" w:hAnsi="Times New Roman" w:eastAsia="仿宋_GB2312"/>
          <w:b/>
          <w:sz w:val="32"/>
          <w:szCs w:val="32"/>
        </w:rPr>
        <w:t>5．2023年</w:t>
      </w:r>
      <w:r>
        <w:rPr>
          <w:rFonts w:ascii="Times New Roman" w:hAnsi="Times New Roman" w:eastAsia="仿宋_GB2312"/>
          <w:b/>
          <w:sz w:val="32"/>
          <w:szCs w:val="32"/>
        </w:rPr>
        <w:t>2月份审定公布。</w:t>
      </w:r>
      <w:r>
        <w:rPr>
          <w:rFonts w:ascii="Times New Roman" w:hAnsi="Times New Roman" w:eastAsia="仿宋_GB2312"/>
          <w:sz w:val="32"/>
          <w:szCs w:val="32"/>
        </w:rPr>
        <w:t>在省（区、市）植保部门推荐基础上，在农业农村部种植业管理司</w:t>
      </w:r>
      <w:r>
        <w:rPr>
          <w:rFonts w:hint="eastAsia" w:ascii="Times New Roman" w:hAnsi="Times New Roman" w:eastAsia="仿宋_GB2312"/>
          <w:sz w:val="32"/>
          <w:szCs w:val="32"/>
        </w:rPr>
        <w:t>（农药管理司）</w:t>
      </w:r>
      <w:r>
        <w:rPr>
          <w:rFonts w:ascii="Times New Roman" w:hAnsi="Times New Roman" w:eastAsia="仿宋_GB2312"/>
          <w:sz w:val="32"/>
          <w:szCs w:val="32"/>
        </w:rPr>
        <w:t>指导下，</w:t>
      </w:r>
      <w:r>
        <w:rPr>
          <w:rFonts w:hint="eastAsia" w:ascii="仿宋_GB2312" w:hAnsi="宋体" w:eastAsia="仿宋_GB2312"/>
          <w:sz w:val="32"/>
          <w:szCs w:val="32"/>
        </w:rPr>
        <w:t>全国农技中心组织专家评选出全国农作物病虫害</w:t>
      </w:r>
      <w:r>
        <w:rPr>
          <w:rFonts w:hint="eastAsia" w:ascii="仿宋_GB2312" w:eastAsia="仿宋_GB2312"/>
          <w:sz w:val="32"/>
          <w:szCs w:val="32"/>
        </w:rPr>
        <w:t>“绿色防控示范县”</w:t>
      </w:r>
      <w:r>
        <w:rPr>
          <w:rFonts w:hint="eastAsia" w:ascii="仿宋_GB2312" w:hAnsi="宋体" w:eastAsia="仿宋_GB2312"/>
          <w:sz w:val="32"/>
          <w:szCs w:val="32"/>
        </w:rPr>
        <w:t>并发文公布。</w:t>
      </w:r>
    </w:p>
    <w:p>
      <w:pPr>
        <w:adjustRightInd w:val="0"/>
        <w:snapToGrid w:val="0"/>
        <w:spacing w:line="600" w:lineRule="exact"/>
        <w:ind w:firstLine="629"/>
        <w:rPr>
          <w:rFonts w:ascii="楷体_GB2312" w:hAnsi="宋体" w:eastAsia="楷体_GB2312"/>
          <w:b/>
          <w:sz w:val="32"/>
          <w:szCs w:val="32"/>
        </w:rPr>
      </w:pPr>
    </w:p>
    <w:p>
      <w:pPr>
        <w:adjustRightInd w:val="0"/>
        <w:snapToGrid w:val="0"/>
        <w:spacing w:line="600" w:lineRule="exact"/>
        <w:ind w:firstLine="629"/>
        <w:rPr>
          <w:rFonts w:ascii="楷体_GB2312" w:hAnsi="宋体" w:eastAsia="楷体_GB2312"/>
          <w:b/>
          <w:sz w:val="32"/>
          <w:szCs w:val="32"/>
        </w:rPr>
      </w:pPr>
      <w:r>
        <w:rPr>
          <w:rFonts w:hint="eastAsia" w:ascii="楷体_GB2312" w:hAnsi="宋体" w:eastAsia="楷体_GB2312"/>
          <w:b/>
          <w:sz w:val="32"/>
          <w:szCs w:val="32"/>
        </w:rPr>
        <w:t>（二）相关要求</w:t>
      </w:r>
    </w:p>
    <w:p>
      <w:pPr>
        <w:spacing w:line="600" w:lineRule="exact"/>
        <w:ind w:firstLine="645"/>
        <w:rPr>
          <w:rFonts w:ascii="仿宋_GB2312" w:hAnsi="宋体" w:eastAsia="仿宋_GB2312"/>
          <w:sz w:val="32"/>
          <w:szCs w:val="32"/>
        </w:rPr>
      </w:pPr>
      <w:r>
        <w:rPr>
          <w:rFonts w:hint="eastAsia" w:ascii="仿宋_GB2312" w:hAnsi="宋体" w:eastAsia="仿宋_GB2312"/>
          <w:b/>
          <w:sz w:val="32"/>
          <w:szCs w:val="32"/>
        </w:rPr>
        <w:t>一是精心组织</w:t>
      </w:r>
      <w:r>
        <w:rPr>
          <w:rFonts w:hint="eastAsia" w:ascii="仿宋_GB2312" w:hAnsi="宋体" w:eastAsia="仿宋_GB2312"/>
          <w:sz w:val="32"/>
          <w:szCs w:val="32"/>
        </w:rPr>
        <w:t>。要坚持客观、公正、公平的原则，组织做好</w:t>
      </w:r>
      <w:r>
        <w:rPr>
          <w:rFonts w:hint="eastAsia" w:ascii="仿宋_GB2312" w:eastAsia="仿宋_GB2312"/>
          <w:sz w:val="32"/>
          <w:szCs w:val="32"/>
        </w:rPr>
        <w:t>“绿色防控示范县”创建以及申报和</w:t>
      </w:r>
      <w:r>
        <w:rPr>
          <w:rFonts w:hint="eastAsia" w:ascii="仿宋_GB2312" w:hAnsi="宋体" w:eastAsia="仿宋_GB2312"/>
          <w:sz w:val="32"/>
          <w:szCs w:val="32"/>
        </w:rPr>
        <w:t>初评推荐工作。</w:t>
      </w:r>
    </w:p>
    <w:p>
      <w:pPr>
        <w:spacing w:line="600" w:lineRule="exact"/>
        <w:ind w:firstLine="645"/>
        <w:rPr>
          <w:rFonts w:ascii="仿宋_GB2312" w:hAnsi="宋体" w:eastAsia="仿宋_GB2312"/>
          <w:sz w:val="32"/>
          <w:szCs w:val="32"/>
        </w:rPr>
      </w:pPr>
      <w:r>
        <w:rPr>
          <w:rFonts w:hint="eastAsia" w:ascii="仿宋_GB2312" w:hAnsi="宋体" w:eastAsia="仿宋_GB2312"/>
          <w:b/>
          <w:sz w:val="32"/>
          <w:szCs w:val="32"/>
        </w:rPr>
        <w:t>二是严格把关</w:t>
      </w:r>
      <w:r>
        <w:rPr>
          <w:rFonts w:hint="eastAsia" w:ascii="仿宋_GB2312" w:hAnsi="宋体" w:eastAsia="仿宋_GB2312"/>
          <w:sz w:val="32"/>
          <w:szCs w:val="32"/>
        </w:rPr>
        <w:t>。省级植物保护机构要严把审核关，对送审材料严格审查，必要时进行实地核查，确保评选结果公信力。</w:t>
      </w:r>
    </w:p>
    <w:p>
      <w:pPr>
        <w:spacing w:line="600" w:lineRule="exact"/>
        <w:ind w:firstLine="645"/>
        <w:rPr>
          <w:rFonts w:ascii="仿宋_GB2312" w:hAnsi="宋体" w:eastAsia="仿宋_GB2312"/>
          <w:sz w:val="32"/>
          <w:szCs w:val="32"/>
        </w:rPr>
      </w:pPr>
      <w:r>
        <w:rPr>
          <w:rFonts w:hint="eastAsia" w:ascii="仿宋_GB2312" w:hAnsi="宋体" w:eastAsia="仿宋_GB2312"/>
          <w:b/>
          <w:sz w:val="32"/>
          <w:szCs w:val="32"/>
        </w:rPr>
        <w:t>三是做好公示</w:t>
      </w:r>
      <w:r>
        <w:rPr>
          <w:rFonts w:hint="eastAsia" w:ascii="仿宋_GB2312" w:hAnsi="宋体" w:eastAsia="仿宋_GB2312"/>
          <w:sz w:val="32"/>
          <w:szCs w:val="32"/>
        </w:rPr>
        <w:t>。要开展公开遴选、推荐，倾听公众意见。全国农技中心将在全国农技推广网等相关媒体，公示全国农作物病虫害</w:t>
      </w:r>
      <w:r>
        <w:rPr>
          <w:rFonts w:hint="eastAsia" w:ascii="仿宋_GB2312" w:eastAsia="仿宋_GB2312"/>
          <w:sz w:val="32"/>
          <w:szCs w:val="32"/>
        </w:rPr>
        <w:t>绿色防控示范县初评</w:t>
      </w:r>
      <w:r>
        <w:rPr>
          <w:rFonts w:hint="eastAsia" w:ascii="仿宋_GB2312" w:hAnsi="宋体" w:eastAsia="仿宋_GB2312"/>
          <w:sz w:val="32"/>
          <w:szCs w:val="32"/>
        </w:rPr>
        <w:t>名单。</w:t>
      </w:r>
    </w:p>
    <w:p>
      <w:pPr>
        <w:spacing w:line="600" w:lineRule="exact"/>
        <w:ind w:firstLine="645"/>
        <w:rPr>
          <w:rFonts w:ascii="黑体" w:hAnsi="黑体" w:eastAsia="黑体"/>
          <w:sz w:val="32"/>
          <w:szCs w:val="32"/>
        </w:rPr>
      </w:pPr>
      <w:r>
        <w:rPr>
          <w:rFonts w:hint="eastAsia" w:ascii="黑体" w:hAnsi="黑体" w:eastAsia="黑体"/>
          <w:sz w:val="32"/>
          <w:szCs w:val="32"/>
        </w:rPr>
        <w:t>六、保障措施</w:t>
      </w:r>
    </w:p>
    <w:p>
      <w:pPr>
        <w:adjustRightInd w:val="0"/>
        <w:snapToGrid w:val="0"/>
        <w:spacing w:line="600" w:lineRule="exact"/>
        <w:ind w:firstLine="629"/>
        <w:rPr>
          <w:rFonts w:ascii="仿宋_GB2312" w:hAnsi="宋体" w:eastAsia="仿宋_GB2312"/>
          <w:sz w:val="32"/>
          <w:szCs w:val="32"/>
        </w:rPr>
      </w:pPr>
      <w:r>
        <w:rPr>
          <w:rFonts w:hint="eastAsia" w:ascii="楷体_GB2312" w:hAnsi="宋体" w:eastAsia="楷体_GB2312"/>
          <w:b/>
          <w:sz w:val="32"/>
          <w:szCs w:val="32"/>
        </w:rPr>
        <w:t>（一）加强责任落实。</w:t>
      </w:r>
      <w:r>
        <w:rPr>
          <w:rFonts w:hint="eastAsia" w:ascii="仿宋_GB2312" w:hAnsi="宋体" w:eastAsia="仿宋_GB2312"/>
          <w:sz w:val="32"/>
          <w:szCs w:val="32"/>
        </w:rPr>
        <w:t>各地要高度重视全国</w:t>
      </w:r>
      <w:r>
        <w:rPr>
          <w:rFonts w:hint="eastAsia" w:ascii="仿宋_GB2312" w:eastAsia="仿宋_GB2312"/>
          <w:sz w:val="32"/>
          <w:szCs w:val="32"/>
        </w:rPr>
        <w:t>农作物病虫害“绿色防控示范县”创建活动</w:t>
      </w:r>
      <w:r>
        <w:rPr>
          <w:rFonts w:hint="eastAsia" w:ascii="仿宋_GB2312" w:hAnsi="宋体" w:eastAsia="仿宋_GB2312"/>
          <w:sz w:val="32"/>
          <w:szCs w:val="32"/>
        </w:rPr>
        <w:t>，加强组织，搞好服务，协调推进。尤其是前两年工作开展较弱的省份，省级植物保护机构要指定专人负责，明确责任，抓好落实。</w:t>
      </w:r>
    </w:p>
    <w:p>
      <w:pPr>
        <w:adjustRightInd w:val="0"/>
        <w:snapToGrid w:val="0"/>
        <w:spacing w:line="600" w:lineRule="exact"/>
        <w:ind w:firstLine="629"/>
        <w:rPr>
          <w:rFonts w:ascii="Times New Roman" w:hAnsi="Times New Roman" w:eastAsia="仿宋_GB2312"/>
          <w:kern w:val="0"/>
          <w:sz w:val="32"/>
          <w:szCs w:val="32"/>
        </w:rPr>
      </w:pPr>
      <w:r>
        <w:rPr>
          <w:rFonts w:hint="eastAsia" w:ascii="楷体_GB2312" w:hAnsi="宋体" w:eastAsia="楷体_GB2312"/>
          <w:b/>
          <w:sz w:val="32"/>
          <w:szCs w:val="32"/>
        </w:rPr>
        <w:t>（二）加大扶持力度。</w:t>
      </w:r>
      <w:r>
        <w:rPr>
          <w:rFonts w:ascii="Times New Roman" w:hAnsi="Times New Roman" w:eastAsia="仿宋_GB2312"/>
          <w:sz w:val="32"/>
          <w:szCs w:val="32"/>
        </w:rPr>
        <w:t>充分利用中央财政重大农作物病虫害统防统治、农作物病虫鼠害疫情监测与防治等相关项目资金，整合有关涉农项目资金</w:t>
      </w:r>
      <w:r>
        <w:rPr>
          <w:rFonts w:ascii="Times New Roman" w:hAnsi="Times New Roman" w:eastAsia="仿宋_GB2312"/>
          <w:kern w:val="0"/>
          <w:sz w:val="32"/>
          <w:szCs w:val="32"/>
        </w:rPr>
        <w:t>，</w:t>
      </w:r>
      <w:r>
        <w:rPr>
          <w:rFonts w:ascii="Times New Roman" w:hAnsi="Times New Roman" w:eastAsia="仿宋_GB2312"/>
          <w:sz w:val="32"/>
          <w:szCs w:val="32"/>
        </w:rPr>
        <w:t>加</w:t>
      </w:r>
      <w:r>
        <w:rPr>
          <w:rFonts w:hint="eastAsia" w:ascii="Times New Roman" w:hAnsi="Times New Roman" w:eastAsia="仿宋_GB2312"/>
          <w:sz w:val="32"/>
          <w:szCs w:val="32"/>
        </w:rPr>
        <w:t>大</w:t>
      </w:r>
      <w:r>
        <w:rPr>
          <w:rFonts w:ascii="Times New Roman" w:hAnsi="Times New Roman" w:eastAsia="仿宋_GB2312"/>
          <w:sz w:val="32"/>
          <w:szCs w:val="32"/>
        </w:rPr>
        <w:t>对绿色防控示范</w:t>
      </w:r>
      <w:r>
        <w:rPr>
          <w:rFonts w:hint="eastAsia" w:ascii="Times New Roman" w:hAnsi="Times New Roman" w:eastAsia="仿宋_GB2312"/>
          <w:sz w:val="32"/>
          <w:szCs w:val="32"/>
        </w:rPr>
        <w:t>工作的</w:t>
      </w:r>
      <w:r>
        <w:rPr>
          <w:rFonts w:ascii="Times New Roman" w:hAnsi="Times New Roman" w:eastAsia="仿宋_GB2312"/>
          <w:sz w:val="32"/>
          <w:szCs w:val="32"/>
        </w:rPr>
        <w:t>支持力度。</w:t>
      </w:r>
      <w:r>
        <w:rPr>
          <w:rFonts w:ascii="Times New Roman" w:hAnsi="Times New Roman" w:eastAsia="仿宋_GB2312"/>
          <w:kern w:val="0"/>
          <w:sz w:val="32"/>
          <w:szCs w:val="32"/>
        </w:rPr>
        <w:t>积极争取</w:t>
      </w:r>
      <w:r>
        <w:rPr>
          <w:rFonts w:ascii="Times New Roman" w:hAnsi="Times New Roman" w:eastAsia="仿宋_GB2312"/>
          <w:sz w:val="32"/>
          <w:szCs w:val="32"/>
        </w:rPr>
        <w:t>当地政府和有关部门</w:t>
      </w:r>
      <w:r>
        <w:rPr>
          <w:rFonts w:ascii="Times New Roman" w:hAnsi="Times New Roman" w:eastAsia="仿宋_GB2312"/>
          <w:kern w:val="0"/>
          <w:sz w:val="32"/>
          <w:szCs w:val="32"/>
        </w:rPr>
        <w:t>加大资金投入，促进</w:t>
      </w:r>
      <w:r>
        <w:rPr>
          <w:rFonts w:hint="eastAsia" w:ascii="Times New Roman" w:hAnsi="Times New Roman" w:eastAsia="仿宋_GB2312"/>
          <w:kern w:val="0"/>
          <w:sz w:val="32"/>
          <w:szCs w:val="32"/>
        </w:rPr>
        <w:t>绿色防控技术</w:t>
      </w:r>
      <w:r>
        <w:rPr>
          <w:rFonts w:ascii="Times New Roman" w:hAnsi="Times New Roman" w:eastAsia="仿宋_GB2312"/>
          <w:kern w:val="0"/>
          <w:sz w:val="32"/>
          <w:szCs w:val="32"/>
        </w:rPr>
        <w:t>大面积推广应用。</w:t>
      </w:r>
    </w:p>
    <w:p>
      <w:pPr>
        <w:adjustRightInd w:val="0"/>
        <w:snapToGrid w:val="0"/>
        <w:spacing w:line="600" w:lineRule="exact"/>
        <w:ind w:firstLine="629"/>
        <w:rPr>
          <w:rFonts w:ascii="Times New Roman" w:hAnsi="Times New Roman" w:eastAsia="仿宋_GB2312"/>
          <w:kern w:val="0"/>
          <w:sz w:val="32"/>
          <w:szCs w:val="32"/>
        </w:rPr>
      </w:pPr>
      <w:r>
        <w:rPr>
          <w:rFonts w:hint="eastAsia" w:ascii="楷体_GB2312" w:hAnsi="宋体" w:eastAsia="楷体_GB2312"/>
          <w:b/>
          <w:sz w:val="32"/>
          <w:szCs w:val="32"/>
        </w:rPr>
        <w:t>（三）加强合力推进。</w:t>
      </w:r>
      <w:r>
        <w:rPr>
          <w:rFonts w:hint="eastAsia" w:ascii="Times New Roman" w:hAnsi="Times New Roman" w:eastAsia="仿宋_GB2312"/>
          <w:sz w:val="32"/>
          <w:szCs w:val="32"/>
        </w:rPr>
        <w:t>引导</w:t>
      </w:r>
      <w:r>
        <w:rPr>
          <w:rFonts w:ascii="Times New Roman" w:hAnsi="Times New Roman" w:eastAsia="仿宋_GB2312"/>
          <w:sz w:val="32"/>
          <w:szCs w:val="32"/>
        </w:rPr>
        <w:t>病虫防治专业化服务组织、新型农业经营主体</w:t>
      </w:r>
      <w:r>
        <w:rPr>
          <w:rFonts w:hint="eastAsia" w:ascii="Times New Roman" w:hAnsi="Times New Roman" w:eastAsia="仿宋_GB2312"/>
          <w:sz w:val="32"/>
          <w:szCs w:val="32"/>
        </w:rPr>
        <w:t>以及从事绿色防控的</w:t>
      </w:r>
      <w:r>
        <w:rPr>
          <w:rFonts w:ascii="Times New Roman" w:hAnsi="Times New Roman" w:eastAsia="仿宋_GB2312"/>
          <w:sz w:val="32"/>
          <w:szCs w:val="32"/>
        </w:rPr>
        <w:t>农资生产企业</w:t>
      </w:r>
      <w:r>
        <w:rPr>
          <w:rFonts w:hint="eastAsia" w:ascii="Times New Roman" w:hAnsi="Times New Roman" w:eastAsia="仿宋_GB2312"/>
          <w:sz w:val="32"/>
          <w:szCs w:val="32"/>
        </w:rPr>
        <w:t>参与创建工作</w:t>
      </w:r>
      <w:r>
        <w:rPr>
          <w:rFonts w:ascii="Times New Roman" w:hAnsi="Times New Roman" w:eastAsia="仿宋_GB2312"/>
          <w:sz w:val="32"/>
          <w:szCs w:val="32"/>
        </w:rPr>
        <w:t>，</w:t>
      </w:r>
      <w:r>
        <w:rPr>
          <w:rFonts w:hint="eastAsia" w:ascii="Times New Roman" w:hAnsi="Times New Roman" w:eastAsia="仿宋_GB2312"/>
          <w:sz w:val="32"/>
          <w:szCs w:val="32"/>
        </w:rPr>
        <w:t>发挥各自优势，</w:t>
      </w:r>
      <w:r>
        <w:rPr>
          <w:rFonts w:ascii="Times New Roman" w:hAnsi="Times New Roman" w:eastAsia="仿宋_GB2312"/>
          <w:kern w:val="0"/>
          <w:sz w:val="32"/>
          <w:szCs w:val="32"/>
        </w:rPr>
        <w:t>集合多种资源，密切合作</w:t>
      </w:r>
      <w:r>
        <w:rPr>
          <w:rFonts w:hint="eastAsia" w:ascii="Times New Roman" w:hAnsi="Times New Roman" w:eastAsia="仿宋_GB2312"/>
          <w:kern w:val="0"/>
          <w:sz w:val="32"/>
          <w:szCs w:val="32"/>
        </w:rPr>
        <w:t>推进创建</w:t>
      </w:r>
      <w:r>
        <w:rPr>
          <w:rFonts w:ascii="Times New Roman" w:hAnsi="Times New Roman" w:eastAsia="仿宋_GB2312"/>
          <w:kern w:val="0"/>
          <w:sz w:val="32"/>
          <w:szCs w:val="32"/>
        </w:rPr>
        <w:t>。</w:t>
      </w:r>
    </w:p>
    <w:p>
      <w:pPr>
        <w:adjustRightInd w:val="0"/>
        <w:snapToGrid w:val="0"/>
        <w:spacing w:line="600" w:lineRule="exact"/>
        <w:ind w:firstLine="629"/>
        <w:rPr>
          <w:rFonts w:ascii="Times New Roman" w:hAnsi="Times New Roman" w:eastAsia="仿宋_GB2312"/>
          <w:kern w:val="0"/>
          <w:sz w:val="32"/>
          <w:szCs w:val="32"/>
        </w:rPr>
      </w:pPr>
      <w:r>
        <w:rPr>
          <w:rFonts w:hint="eastAsia" w:ascii="楷体_GB2312" w:hAnsi="宋体" w:eastAsia="楷体_GB2312"/>
          <w:b/>
          <w:sz w:val="32"/>
          <w:szCs w:val="32"/>
        </w:rPr>
        <w:t>（四）加强宣传培训。</w:t>
      </w:r>
      <w:r>
        <w:rPr>
          <w:rFonts w:ascii="Times New Roman" w:hAnsi="Times New Roman" w:eastAsia="仿宋_GB2312"/>
          <w:kern w:val="0"/>
          <w:sz w:val="32"/>
          <w:szCs w:val="32"/>
        </w:rPr>
        <w:t>通过组织现场</w:t>
      </w:r>
      <w:r>
        <w:rPr>
          <w:rFonts w:hint="eastAsia" w:ascii="Times New Roman" w:hAnsi="Times New Roman" w:eastAsia="仿宋_GB2312"/>
          <w:kern w:val="0"/>
          <w:sz w:val="32"/>
          <w:szCs w:val="32"/>
        </w:rPr>
        <w:t>观摩</w:t>
      </w:r>
      <w:r>
        <w:rPr>
          <w:rFonts w:ascii="Times New Roman" w:hAnsi="Times New Roman" w:eastAsia="仿宋_GB2312"/>
          <w:kern w:val="0"/>
          <w:sz w:val="32"/>
          <w:szCs w:val="32"/>
        </w:rPr>
        <w:t>会、农民田间学校和新闻媒介</w:t>
      </w:r>
      <w:r>
        <w:rPr>
          <w:rFonts w:hint="eastAsia" w:ascii="Times New Roman" w:hAnsi="Times New Roman" w:eastAsia="仿宋_GB2312"/>
          <w:kern w:val="0"/>
          <w:sz w:val="32"/>
          <w:szCs w:val="32"/>
        </w:rPr>
        <w:t>专题采访</w:t>
      </w:r>
      <w:r>
        <w:rPr>
          <w:rFonts w:ascii="Times New Roman" w:hAnsi="Times New Roman" w:eastAsia="仿宋_GB2312"/>
          <w:kern w:val="0"/>
          <w:sz w:val="32"/>
          <w:szCs w:val="32"/>
        </w:rPr>
        <w:t>等多种形式的活动，宣传普及绿色防控技术，</w:t>
      </w:r>
      <w:r>
        <w:rPr>
          <w:rFonts w:hint="eastAsia" w:ascii="Times New Roman" w:hAnsi="Times New Roman" w:eastAsia="仿宋_GB2312"/>
          <w:kern w:val="0"/>
          <w:sz w:val="32"/>
          <w:szCs w:val="32"/>
        </w:rPr>
        <w:t>扩大绿色防控影响</w:t>
      </w:r>
      <w:r>
        <w:rPr>
          <w:rFonts w:ascii="Times New Roman" w:hAnsi="Times New Roman" w:eastAsia="仿宋_GB2312"/>
          <w:kern w:val="0"/>
          <w:sz w:val="32"/>
          <w:szCs w:val="32"/>
        </w:rPr>
        <w:t>。</w:t>
      </w:r>
    </w:p>
    <w:p>
      <w:pPr>
        <w:spacing w:line="600" w:lineRule="exact"/>
        <w:ind w:firstLine="648"/>
        <w:rPr>
          <w:rFonts w:ascii="Times New Roman" w:hAnsi="Times New Roman" w:eastAsia="黑体"/>
          <w:sz w:val="32"/>
          <w:szCs w:val="32"/>
        </w:rPr>
      </w:pPr>
      <w:r>
        <w:rPr>
          <w:rFonts w:hint="eastAsia" w:ascii="Times New Roman" w:hAnsi="Times New Roman" w:eastAsia="黑体"/>
          <w:sz w:val="32"/>
          <w:szCs w:val="32"/>
        </w:rPr>
        <w:t>七、申报材料要求</w:t>
      </w:r>
    </w:p>
    <w:p>
      <w:pPr>
        <w:spacing w:line="600" w:lineRule="exact"/>
        <w:ind w:firstLine="648"/>
        <w:rPr>
          <w:rFonts w:ascii="楷体_GB2312" w:hAnsi="Times New Roman" w:eastAsia="楷体_GB2312"/>
          <w:b/>
          <w:sz w:val="32"/>
          <w:szCs w:val="32"/>
        </w:rPr>
      </w:pPr>
      <w:r>
        <w:rPr>
          <w:rFonts w:hint="eastAsia" w:ascii="楷体_GB2312" w:hAnsi="Times New Roman" w:eastAsia="楷体_GB2312"/>
          <w:b/>
          <w:sz w:val="32"/>
          <w:szCs w:val="32"/>
        </w:rPr>
        <w:t>（一）材料内容</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申报材料主要包括以下内容，请汇编成册，按要求报送。</w:t>
      </w:r>
    </w:p>
    <w:p>
      <w:pPr>
        <w:spacing w:line="600" w:lineRule="exact"/>
        <w:ind w:firstLine="643" w:firstLineChars="200"/>
        <w:rPr>
          <w:rFonts w:ascii="Times New Roman" w:hAnsi="Times New Roman" w:eastAsia="仿宋_GB2312"/>
          <w:sz w:val="32"/>
          <w:szCs w:val="32"/>
        </w:rPr>
      </w:pPr>
      <w:r>
        <w:rPr>
          <w:rFonts w:hint="eastAsia" w:ascii="Times New Roman" w:hAnsi="Times New Roman" w:eastAsia="楷体_GB2312"/>
          <w:b/>
          <w:sz w:val="32"/>
          <w:szCs w:val="32"/>
        </w:rPr>
        <w:t>1</w:t>
      </w:r>
      <w:r>
        <w:rPr>
          <w:rFonts w:hint="eastAsia" w:ascii="Times New Roman" w:hAnsi="Times New Roman" w:eastAsia="仿宋_GB2312"/>
          <w:b/>
          <w:sz w:val="32"/>
          <w:szCs w:val="32"/>
        </w:rPr>
        <w:t>．</w:t>
      </w:r>
      <w:r>
        <w:rPr>
          <w:rFonts w:hint="eastAsia" w:ascii="Times New Roman" w:hAnsi="Times New Roman" w:eastAsia="楷体_GB2312"/>
          <w:b/>
          <w:sz w:val="32"/>
          <w:szCs w:val="32"/>
        </w:rPr>
        <w:t>工作总结。</w:t>
      </w:r>
      <w:r>
        <w:rPr>
          <w:rFonts w:hint="eastAsia" w:ascii="Times New Roman" w:hAnsi="Times New Roman" w:eastAsia="仿宋_GB2312"/>
          <w:sz w:val="32"/>
          <w:szCs w:val="32"/>
        </w:rPr>
        <w:t>总结示范县创建情况，力求内容全面、突出亮点、语言精练，能充分体现示范县创建的过程和结果。</w:t>
      </w:r>
    </w:p>
    <w:p>
      <w:pPr>
        <w:spacing w:line="600" w:lineRule="exact"/>
        <w:ind w:firstLine="643" w:firstLineChars="200"/>
        <w:rPr>
          <w:rFonts w:ascii="Times New Roman" w:hAnsi="Times New Roman" w:eastAsia="仿宋_GB2312"/>
          <w:sz w:val="32"/>
          <w:szCs w:val="32"/>
        </w:rPr>
      </w:pPr>
      <w:r>
        <w:rPr>
          <w:rFonts w:hint="eastAsia" w:ascii="Times New Roman" w:hAnsi="Times New Roman" w:eastAsia="楷体_GB2312"/>
          <w:b/>
          <w:sz w:val="32"/>
          <w:szCs w:val="32"/>
        </w:rPr>
        <w:t>2</w:t>
      </w:r>
      <w:r>
        <w:rPr>
          <w:rFonts w:hint="eastAsia" w:ascii="Times New Roman" w:hAnsi="Times New Roman" w:eastAsia="仿宋_GB2312"/>
          <w:b/>
          <w:sz w:val="32"/>
          <w:szCs w:val="32"/>
        </w:rPr>
        <w:t>．</w:t>
      </w:r>
      <w:r>
        <w:rPr>
          <w:rFonts w:hint="eastAsia" w:ascii="Times New Roman" w:hAnsi="Times New Roman" w:eastAsia="楷体_GB2312"/>
          <w:b/>
          <w:sz w:val="32"/>
          <w:szCs w:val="32"/>
        </w:rPr>
        <w:t>通知与文件。</w:t>
      </w:r>
      <w:r>
        <w:rPr>
          <w:rFonts w:hint="eastAsia" w:ascii="Times New Roman" w:hAnsi="Times New Roman" w:eastAsia="仿宋_GB2312"/>
          <w:sz w:val="32"/>
          <w:szCs w:val="32"/>
        </w:rPr>
        <w:t>围绕示范县创建，整理和汇编有关组织发动、政策支持、制度建设等方面的通知和文件。</w:t>
      </w:r>
    </w:p>
    <w:p>
      <w:pPr>
        <w:spacing w:line="600" w:lineRule="exact"/>
        <w:ind w:firstLine="643" w:firstLineChars="200"/>
        <w:rPr>
          <w:rFonts w:ascii="Times New Roman" w:hAnsi="Times New Roman" w:eastAsia="仿宋_GB2312"/>
          <w:sz w:val="32"/>
          <w:szCs w:val="32"/>
        </w:rPr>
      </w:pPr>
      <w:r>
        <w:rPr>
          <w:rFonts w:hint="eastAsia" w:ascii="Times New Roman" w:hAnsi="Times New Roman" w:eastAsia="楷体_GB2312"/>
          <w:b/>
          <w:sz w:val="32"/>
          <w:szCs w:val="32"/>
        </w:rPr>
        <w:t>3</w:t>
      </w:r>
      <w:r>
        <w:rPr>
          <w:rFonts w:hint="eastAsia" w:ascii="Times New Roman" w:hAnsi="Times New Roman" w:eastAsia="仿宋_GB2312"/>
          <w:b/>
          <w:sz w:val="32"/>
          <w:szCs w:val="32"/>
        </w:rPr>
        <w:t>．</w:t>
      </w:r>
      <w:r>
        <w:rPr>
          <w:rFonts w:hint="eastAsia" w:ascii="Times New Roman" w:hAnsi="Times New Roman" w:eastAsia="楷体_GB2312"/>
          <w:b/>
          <w:sz w:val="32"/>
          <w:szCs w:val="32"/>
        </w:rPr>
        <w:t>图片材料。</w:t>
      </w:r>
      <w:r>
        <w:rPr>
          <w:rFonts w:hint="eastAsia" w:ascii="Times New Roman" w:hAnsi="Times New Roman" w:eastAsia="仿宋_GB2312"/>
          <w:sz w:val="32"/>
          <w:szCs w:val="32"/>
        </w:rPr>
        <w:t>收集示范县创建的相关照片，每张照片添加图注，可根据内容进行分类展示。</w:t>
      </w:r>
    </w:p>
    <w:p>
      <w:pPr>
        <w:spacing w:line="600" w:lineRule="exact"/>
        <w:ind w:firstLine="643" w:firstLineChars="200"/>
        <w:rPr>
          <w:rFonts w:ascii="Times New Roman" w:hAnsi="Times New Roman" w:eastAsia="仿宋_GB2312"/>
          <w:sz w:val="32"/>
          <w:szCs w:val="32"/>
        </w:rPr>
      </w:pPr>
      <w:r>
        <w:rPr>
          <w:rFonts w:hint="eastAsia" w:ascii="Times New Roman" w:hAnsi="Times New Roman" w:eastAsia="楷体_GB2312"/>
          <w:b/>
          <w:sz w:val="32"/>
          <w:szCs w:val="32"/>
        </w:rPr>
        <w:t>4</w:t>
      </w:r>
      <w:r>
        <w:rPr>
          <w:rFonts w:hint="eastAsia" w:ascii="Times New Roman" w:hAnsi="Times New Roman" w:eastAsia="仿宋_GB2312"/>
          <w:b/>
          <w:sz w:val="32"/>
          <w:szCs w:val="32"/>
        </w:rPr>
        <w:t>．</w:t>
      </w:r>
      <w:r>
        <w:rPr>
          <w:rFonts w:hint="eastAsia" w:ascii="Times New Roman" w:hAnsi="Times New Roman" w:eastAsia="楷体_GB2312"/>
          <w:b/>
          <w:sz w:val="32"/>
          <w:szCs w:val="32"/>
        </w:rPr>
        <w:t>附件材料。</w:t>
      </w:r>
      <w:r>
        <w:rPr>
          <w:rFonts w:hint="eastAsia" w:ascii="Times New Roman" w:hAnsi="Times New Roman" w:eastAsia="仿宋_GB2312"/>
          <w:sz w:val="32"/>
          <w:szCs w:val="32"/>
        </w:rPr>
        <w:t>按照创建工作方案要求，附上加盖县级农业农村行政主管部门和省级植物保护机构公章的《绿色防控示范县创建申报表》（附表</w:t>
      </w:r>
      <w:r>
        <w:rPr>
          <w:rFonts w:ascii="Times New Roman" w:hAnsi="Times New Roman" w:eastAsia="仿宋_GB2312"/>
          <w:sz w:val="32"/>
          <w:szCs w:val="32"/>
        </w:rPr>
        <w:t>1</w:t>
      </w:r>
      <w:r>
        <w:rPr>
          <w:rFonts w:hint="eastAsia" w:ascii="Times New Roman" w:hAnsi="Times New Roman" w:eastAsia="仿宋_GB2312"/>
          <w:sz w:val="32"/>
          <w:szCs w:val="32"/>
        </w:rPr>
        <w:t>）原件以及</w:t>
      </w:r>
      <w:r>
        <w:rPr>
          <w:rFonts w:ascii="Times New Roman" w:hAnsi="Times New Roman" w:eastAsia="仿宋_GB2312"/>
          <w:sz w:val="32"/>
          <w:szCs w:val="32"/>
        </w:rPr>
        <w:t>相关佐证材料（附</w:t>
      </w:r>
      <w:r>
        <w:rPr>
          <w:rFonts w:hint="eastAsia" w:ascii="Times New Roman" w:hAnsi="Times New Roman" w:eastAsia="仿宋_GB2312"/>
          <w:sz w:val="32"/>
          <w:szCs w:val="32"/>
        </w:rPr>
        <w:t>表</w:t>
      </w:r>
      <w:r>
        <w:rPr>
          <w:rFonts w:ascii="Times New Roman" w:hAnsi="Times New Roman" w:eastAsia="仿宋_GB2312"/>
          <w:sz w:val="32"/>
          <w:szCs w:val="32"/>
        </w:rPr>
        <w:t>2</w:t>
      </w:r>
      <w:r>
        <w:rPr>
          <w:rFonts w:hint="eastAsia" w:ascii="Times New Roman" w:hAnsi="Times New Roman" w:eastAsia="仿宋_GB2312"/>
          <w:sz w:val="32"/>
          <w:szCs w:val="32"/>
        </w:rPr>
        <w:t>、</w:t>
      </w:r>
      <w:r>
        <w:rPr>
          <w:rFonts w:ascii="Times New Roman" w:hAnsi="Times New Roman" w:eastAsia="仿宋_GB2312"/>
          <w:sz w:val="32"/>
          <w:szCs w:val="32"/>
        </w:rPr>
        <w:t>3</w:t>
      </w:r>
      <w:r>
        <w:rPr>
          <w:rFonts w:hint="eastAsia" w:ascii="Times New Roman" w:hAnsi="Times New Roman" w:eastAsia="仿宋_GB2312"/>
          <w:sz w:val="32"/>
          <w:szCs w:val="32"/>
        </w:rPr>
        <w:t>）复印件。</w:t>
      </w:r>
    </w:p>
    <w:p>
      <w:pPr>
        <w:spacing w:line="600" w:lineRule="exact"/>
        <w:ind w:firstLine="648"/>
        <w:rPr>
          <w:rFonts w:ascii="楷体_GB2312" w:hAnsi="Times New Roman" w:eastAsia="楷体_GB2312"/>
          <w:b/>
          <w:sz w:val="32"/>
          <w:szCs w:val="32"/>
        </w:rPr>
      </w:pPr>
      <w:r>
        <w:rPr>
          <w:rFonts w:hint="eastAsia" w:ascii="楷体_GB2312" w:hAnsi="Times New Roman" w:eastAsia="楷体_GB2312"/>
          <w:b/>
          <w:sz w:val="32"/>
          <w:szCs w:val="32"/>
        </w:rPr>
        <w:t>（二）报送方式</w:t>
      </w:r>
    </w:p>
    <w:p>
      <w:pPr>
        <w:spacing w:line="600" w:lineRule="exact"/>
        <w:ind w:firstLine="643" w:firstLineChars="200"/>
        <w:rPr>
          <w:rFonts w:ascii="Times New Roman" w:hAnsi="Times New Roman" w:eastAsia="仿宋_GB2312"/>
          <w:sz w:val="32"/>
          <w:szCs w:val="32"/>
        </w:rPr>
      </w:pPr>
      <w:r>
        <w:rPr>
          <w:rFonts w:hint="eastAsia" w:ascii="Times New Roman" w:hAnsi="Times New Roman" w:eastAsia="楷体_GB2312"/>
          <w:b/>
          <w:sz w:val="32"/>
          <w:szCs w:val="32"/>
        </w:rPr>
        <w:t>1</w:t>
      </w:r>
      <w:r>
        <w:rPr>
          <w:rFonts w:hint="eastAsia" w:ascii="Times New Roman" w:hAnsi="Times New Roman" w:eastAsia="仿宋_GB2312"/>
          <w:b/>
          <w:sz w:val="32"/>
          <w:szCs w:val="32"/>
        </w:rPr>
        <w:t>．</w:t>
      </w:r>
      <w:r>
        <w:rPr>
          <w:rFonts w:hint="eastAsia" w:ascii="Times New Roman" w:hAnsi="Times New Roman" w:eastAsia="楷体_GB2312"/>
          <w:b/>
          <w:sz w:val="32"/>
          <w:szCs w:val="32"/>
        </w:rPr>
        <w:t>纸质材料。</w:t>
      </w:r>
      <w:r>
        <w:rPr>
          <w:rFonts w:hint="eastAsia" w:ascii="Times New Roman" w:hAnsi="Times New Roman" w:eastAsia="仿宋_GB2312"/>
          <w:sz w:val="32"/>
          <w:szCs w:val="32"/>
        </w:rPr>
        <w:t>将汇编材料纸质版2套寄送至我中心病虫害防治处。邮寄地址：北京市朝阳区麦子店街</w:t>
      </w:r>
      <w:r>
        <w:rPr>
          <w:rFonts w:ascii="Times New Roman" w:hAnsi="Times New Roman" w:eastAsia="仿宋_GB2312"/>
          <w:sz w:val="32"/>
          <w:szCs w:val="32"/>
        </w:rPr>
        <w:t>20</w:t>
      </w:r>
      <w:r>
        <w:rPr>
          <w:rFonts w:hint="eastAsia" w:ascii="Times New Roman" w:hAnsi="Times New Roman" w:eastAsia="仿宋_GB2312"/>
          <w:sz w:val="32"/>
          <w:szCs w:val="32"/>
        </w:rPr>
        <w:t>号楼</w:t>
      </w:r>
      <w:r>
        <w:rPr>
          <w:rFonts w:ascii="Times New Roman" w:hAnsi="Times New Roman" w:eastAsia="仿宋_GB2312"/>
          <w:sz w:val="32"/>
          <w:szCs w:val="32"/>
        </w:rPr>
        <w:t>704</w:t>
      </w:r>
      <w:r>
        <w:rPr>
          <w:rFonts w:hint="eastAsia" w:ascii="Times New Roman" w:hAnsi="Times New Roman" w:eastAsia="仿宋_GB2312"/>
          <w:sz w:val="32"/>
          <w:szCs w:val="32"/>
        </w:rPr>
        <w:t>室，收件人：朱晓明、李跃（电话：</w:t>
      </w:r>
      <w:r>
        <w:rPr>
          <w:rFonts w:ascii="Times New Roman" w:hAnsi="Times New Roman" w:eastAsia="仿宋_GB2312"/>
          <w:sz w:val="32"/>
          <w:szCs w:val="32"/>
        </w:rPr>
        <w:t>010</w:t>
      </w:r>
      <w:r>
        <w:rPr>
          <w:rFonts w:hint="eastAsia" w:ascii="Times New Roman" w:hAnsi="Times New Roman" w:eastAsia="仿宋_GB2312"/>
          <w:sz w:val="32"/>
          <w:szCs w:val="32"/>
        </w:rPr>
        <w:t>—</w:t>
      </w:r>
      <w:r>
        <w:rPr>
          <w:rFonts w:ascii="Times New Roman" w:hAnsi="Times New Roman" w:eastAsia="仿宋_GB2312"/>
          <w:sz w:val="32"/>
          <w:szCs w:val="32"/>
        </w:rPr>
        <w:t>59194543</w:t>
      </w:r>
      <w:r>
        <w:rPr>
          <w:rFonts w:hint="eastAsia" w:ascii="Times New Roman" w:hAnsi="Times New Roman" w:eastAsia="仿宋_GB2312"/>
          <w:sz w:val="32"/>
          <w:szCs w:val="32"/>
        </w:rPr>
        <w:t>、</w:t>
      </w:r>
      <w:r>
        <w:rPr>
          <w:rFonts w:ascii="Times New Roman" w:hAnsi="Times New Roman" w:eastAsia="仿宋_GB2312"/>
          <w:sz w:val="32"/>
          <w:szCs w:val="32"/>
        </w:rPr>
        <w:t>59194542</w:t>
      </w:r>
      <w:r>
        <w:rPr>
          <w:rFonts w:hint="eastAsia" w:ascii="Times New Roman" w:hAnsi="Times New Roman" w:eastAsia="仿宋_GB2312"/>
          <w:sz w:val="32"/>
          <w:szCs w:val="32"/>
        </w:rPr>
        <w:t>）。</w:t>
      </w:r>
    </w:p>
    <w:p>
      <w:pPr>
        <w:spacing w:line="600" w:lineRule="exact"/>
        <w:ind w:firstLine="643" w:firstLineChars="200"/>
        <w:rPr>
          <w:rFonts w:ascii="Times New Roman" w:hAnsi="Times New Roman" w:eastAsia="仿宋_GB2312"/>
          <w:sz w:val="32"/>
          <w:szCs w:val="32"/>
        </w:rPr>
      </w:pPr>
      <w:r>
        <w:rPr>
          <w:rFonts w:hint="eastAsia" w:ascii="Times New Roman" w:hAnsi="Times New Roman" w:eastAsia="楷体_GB2312"/>
          <w:b/>
          <w:sz w:val="32"/>
          <w:szCs w:val="32"/>
        </w:rPr>
        <w:t>2</w:t>
      </w:r>
      <w:r>
        <w:rPr>
          <w:rFonts w:hint="eastAsia" w:ascii="Times New Roman" w:hAnsi="Times New Roman" w:eastAsia="仿宋_GB2312"/>
          <w:b/>
          <w:sz w:val="32"/>
          <w:szCs w:val="32"/>
        </w:rPr>
        <w:t>．</w:t>
      </w:r>
      <w:r>
        <w:rPr>
          <w:rFonts w:hint="eastAsia" w:ascii="Times New Roman" w:hAnsi="Times New Roman" w:eastAsia="楷体_GB2312"/>
          <w:b/>
          <w:sz w:val="32"/>
          <w:szCs w:val="32"/>
        </w:rPr>
        <w:t>电子材料。</w:t>
      </w:r>
      <w:r>
        <w:rPr>
          <w:rFonts w:hint="eastAsia" w:ascii="Times New Roman" w:hAnsi="Times New Roman" w:eastAsia="仿宋_GB2312"/>
          <w:sz w:val="32"/>
          <w:szCs w:val="32"/>
        </w:rPr>
        <w:t>将汇编材料中的工作总结和附表1、2、3的电子版发送至指定电子邮箱（</w:t>
      </w:r>
      <w:r>
        <w:rPr>
          <w:rFonts w:ascii="Times New Roman" w:hAnsi="Times New Roman" w:eastAsia="仿宋_GB2312"/>
          <w:sz w:val="32"/>
          <w:szCs w:val="32"/>
        </w:rPr>
        <w:t>njzxfzc@126.com</w:t>
      </w:r>
      <w:r>
        <w:rPr>
          <w:rFonts w:hint="eastAsia" w:ascii="Times New Roman" w:hAnsi="Times New Roman" w:eastAsia="仿宋_GB2312"/>
          <w:sz w:val="32"/>
          <w:szCs w:val="32"/>
        </w:rPr>
        <w:t>）。</w:t>
      </w:r>
    </w:p>
    <w:p>
      <w:pPr>
        <w:spacing w:line="600" w:lineRule="exact"/>
        <w:ind w:firstLine="643" w:firstLineChars="200"/>
        <w:rPr>
          <w:rFonts w:ascii="Times New Roman" w:hAnsi="Times New Roman" w:eastAsia="仿宋_GB2312"/>
          <w:sz w:val="32"/>
          <w:szCs w:val="32"/>
        </w:rPr>
      </w:pPr>
      <w:r>
        <w:rPr>
          <w:rFonts w:hint="eastAsia" w:ascii="Times New Roman" w:hAnsi="Times New Roman" w:eastAsia="楷体_GB2312"/>
          <w:b/>
          <w:sz w:val="32"/>
          <w:szCs w:val="32"/>
        </w:rPr>
        <w:t>3</w:t>
      </w:r>
      <w:r>
        <w:rPr>
          <w:rFonts w:hint="eastAsia" w:ascii="Times New Roman" w:hAnsi="Times New Roman" w:eastAsia="仿宋_GB2312"/>
          <w:b/>
          <w:sz w:val="32"/>
          <w:szCs w:val="32"/>
        </w:rPr>
        <w:t>．</w:t>
      </w:r>
      <w:r>
        <w:rPr>
          <w:rFonts w:hint="eastAsia" w:ascii="Times New Roman" w:hAnsi="Times New Roman" w:eastAsia="楷体_GB2312"/>
          <w:b/>
          <w:sz w:val="32"/>
          <w:szCs w:val="32"/>
        </w:rPr>
        <w:t>报送时间。</w:t>
      </w:r>
      <w:r>
        <w:rPr>
          <w:rFonts w:hint="eastAsia" w:ascii="Times New Roman" w:hAnsi="Times New Roman" w:eastAsia="仿宋_GB2312"/>
          <w:sz w:val="32"/>
          <w:szCs w:val="32"/>
        </w:rPr>
        <w:t>绿色防控示范县申报材料报送截止时间为</w:t>
      </w:r>
      <w:r>
        <w:rPr>
          <w:rFonts w:ascii="Times New Roman" w:hAnsi="Times New Roman" w:eastAsia="仿宋_GB2312"/>
          <w:sz w:val="32"/>
          <w:szCs w:val="32"/>
        </w:rPr>
        <w:t>20</w:t>
      </w:r>
      <w:r>
        <w:rPr>
          <w:rFonts w:hint="eastAsia" w:ascii="Times New Roman" w:hAnsi="Times New Roman" w:eastAsia="仿宋_GB2312"/>
          <w:sz w:val="32"/>
          <w:szCs w:val="32"/>
        </w:rPr>
        <w:t>23年</w:t>
      </w:r>
      <w:r>
        <w:rPr>
          <w:rFonts w:ascii="Times New Roman" w:hAnsi="Times New Roman" w:eastAsia="仿宋_GB2312"/>
          <w:sz w:val="32"/>
          <w:szCs w:val="32"/>
        </w:rPr>
        <w:t>1</w:t>
      </w:r>
      <w:r>
        <w:rPr>
          <w:rFonts w:hint="eastAsia" w:ascii="Times New Roman" w:hAnsi="Times New Roman" w:eastAsia="仿宋_GB2312"/>
          <w:sz w:val="32"/>
          <w:szCs w:val="32"/>
        </w:rPr>
        <w:t>月</w:t>
      </w:r>
      <w:r>
        <w:rPr>
          <w:rFonts w:ascii="Times New Roman" w:hAnsi="Times New Roman" w:eastAsia="仿宋_GB2312"/>
          <w:sz w:val="32"/>
          <w:szCs w:val="32"/>
        </w:rPr>
        <w:t>20</w:t>
      </w:r>
      <w:r>
        <w:rPr>
          <w:rFonts w:hint="eastAsia" w:ascii="Times New Roman" w:hAnsi="Times New Roman" w:eastAsia="仿宋_GB2312"/>
          <w:sz w:val="32"/>
          <w:szCs w:val="32"/>
        </w:rPr>
        <w:t>日（以邮戳为准）。</w:t>
      </w:r>
    </w:p>
    <w:p>
      <w:pPr>
        <w:spacing w:line="600" w:lineRule="exact"/>
        <w:ind w:firstLine="643" w:firstLineChars="200"/>
        <w:rPr>
          <w:rFonts w:ascii="Times New Roman" w:hAnsi="Times New Roman" w:eastAsia="仿宋_GB2312"/>
          <w:sz w:val="32"/>
          <w:szCs w:val="32"/>
        </w:rPr>
      </w:pPr>
      <w:r>
        <w:rPr>
          <w:rFonts w:hint="eastAsia" w:ascii="Times New Roman" w:hAnsi="Times New Roman" w:eastAsia="楷体_GB2312"/>
          <w:b/>
          <w:sz w:val="32"/>
          <w:szCs w:val="32"/>
        </w:rPr>
        <w:t>4</w:t>
      </w:r>
      <w:r>
        <w:rPr>
          <w:rFonts w:hint="eastAsia" w:ascii="Times New Roman" w:hAnsi="Times New Roman" w:eastAsia="仿宋_GB2312"/>
          <w:b/>
          <w:sz w:val="32"/>
          <w:szCs w:val="32"/>
        </w:rPr>
        <w:t>．</w:t>
      </w:r>
      <w:r>
        <w:rPr>
          <w:rFonts w:hint="eastAsia" w:ascii="Times New Roman" w:hAnsi="Times New Roman" w:eastAsia="楷体_GB2312"/>
          <w:b/>
          <w:sz w:val="32"/>
          <w:szCs w:val="32"/>
        </w:rPr>
        <w:t>其他事项。</w:t>
      </w:r>
      <w:r>
        <w:rPr>
          <w:rFonts w:hint="eastAsia" w:ascii="Times New Roman" w:hAnsi="Times New Roman" w:eastAsia="仿宋_GB2312"/>
          <w:sz w:val="32"/>
          <w:szCs w:val="32"/>
        </w:rPr>
        <w:t>申报材料不予退还，请自行留底。为</w:t>
      </w:r>
      <w:r>
        <w:rPr>
          <w:rFonts w:ascii="Times New Roman" w:hAnsi="Times New Roman" w:eastAsia="仿宋_GB2312"/>
          <w:sz w:val="32"/>
          <w:szCs w:val="32"/>
        </w:rPr>
        <w:t>确保</w:t>
      </w:r>
      <w:r>
        <w:rPr>
          <w:rFonts w:hint="eastAsia" w:ascii="Times New Roman" w:hAnsi="Times New Roman" w:eastAsia="仿宋_GB2312"/>
          <w:sz w:val="32"/>
          <w:szCs w:val="32"/>
        </w:rPr>
        <w:t>申报</w:t>
      </w:r>
      <w:r>
        <w:rPr>
          <w:rFonts w:ascii="Times New Roman" w:hAnsi="Times New Roman" w:eastAsia="仿宋_GB2312"/>
          <w:sz w:val="32"/>
          <w:szCs w:val="32"/>
        </w:rPr>
        <w:t>材料顺利</w:t>
      </w:r>
      <w:r>
        <w:rPr>
          <w:rFonts w:hint="eastAsia" w:ascii="Times New Roman" w:hAnsi="Times New Roman" w:eastAsia="仿宋_GB2312"/>
          <w:sz w:val="32"/>
          <w:szCs w:val="32"/>
        </w:rPr>
        <w:t>报</w:t>
      </w:r>
      <w:r>
        <w:rPr>
          <w:rFonts w:ascii="Times New Roman" w:hAnsi="Times New Roman" w:eastAsia="仿宋_GB2312"/>
          <w:sz w:val="32"/>
          <w:szCs w:val="32"/>
        </w:rPr>
        <w:t>送，</w:t>
      </w:r>
      <w:r>
        <w:rPr>
          <w:rFonts w:hint="eastAsia" w:ascii="Times New Roman" w:hAnsi="Times New Roman" w:eastAsia="仿宋_GB2312"/>
          <w:sz w:val="32"/>
          <w:szCs w:val="32"/>
        </w:rPr>
        <w:t>请尽量通过顺丰速运或者中国邮政EMS寄送。光盘、优盘等可与纸质材料一并寄送。</w:t>
      </w:r>
    </w:p>
    <w:p>
      <w:pPr>
        <w:spacing w:line="600" w:lineRule="exact"/>
        <w:ind w:firstLine="640" w:firstLineChars="200"/>
        <w:rPr>
          <w:rFonts w:ascii="Times New Roman" w:hAnsi="Times New Roman" w:eastAsia="仿宋_GB2312"/>
          <w:kern w:val="0"/>
          <w:sz w:val="32"/>
          <w:szCs w:val="32"/>
        </w:rPr>
      </w:pP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附表：1．全国农作物病虫害</w:t>
      </w:r>
      <w:r>
        <w:rPr>
          <w:rFonts w:hint="eastAsia" w:ascii="仿宋_GB2312" w:eastAsia="仿宋_GB2312"/>
          <w:sz w:val="32"/>
          <w:szCs w:val="32"/>
        </w:rPr>
        <w:t>“绿色防控示范县”</w:t>
      </w:r>
      <w:r>
        <w:rPr>
          <w:rFonts w:hint="eastAsia" w:ascii="Times New Roman" w:hAnsi="Times New Roman" w:eastAsia="仿宋_GB2312"/>
          <w:kern w:val="0"/>
          <w:sz w:val="32"/>
          <w:szCs w:val="32"/>
        </w:rPr>
        <w:t>申报表</w:t>
      </w:r>
    </w:p>
    <w:p>
      <w:pPr>
        <w:spacing w:line="600" w:lineRule="exact"/>
        <w:ind w:firstLine="1632" w:firstLineChars="510"/>
        <w:rPr>
          <w:rFonts w:ascii="Times New Roman" w:hAnsi="Times New Roman" w:eastAsia="仿宋_GB2312"/>
          <w:kern w:val="0"/>
          <w:sz w:val="32"/>
          <w:szCs w:val="32"/>
        </w:rPr>
      </w:pPr>
      <w:r>
        <w:rPr>
          <w:rFonts w:hint="eastAsia" w:ascii="Times New Roman" w:hAnsi="Times New Roman" w:eastAsia="仿宋_GB2312"/>
          <w:kern w:val="0"/>
          <w:sz w:val="32"/>
          <w:szCs w:val="32"/>
        </w:rPr>
        <w:t>2．</w:t>
      </w:r>
      <w:r>
        <w:rPr>
          <w:rFonts w:hint="eastAsia" w:ascii="仿宋_GB2312" w:eastAsia="仿宋_GB2312"/>
          <w:sz w:val="32"/>
          <w:szCs w:val="32"/>
        </w:rPr>
        <w:t>“绿色防控示范县”</w:t>
      </w:r>
      <w:r>
        <w:rPr>
          <w:rFonts w:hint="eastAsia" w:ascii="Times New Roman" w:hAnsi="Times New Roman" w:eastAsia="仿宋_GB2312"/>
          <w:kern w:val="0"/>
          <w:sz w:val="32"/>
          <w:szCs w:val="32"/>
        </w:rPr>
        <w:t>主要农作物病虫害绿色防控</w:t>
      </w:r>
    </w:p>
    <w:p>
      <w:pPr>
        <w:spacing w:line="600" w:lineRule="exact"/>
        <w:ind w:firstLine="2144" w:firstLineChars="670"/>
        <w:rPr>
          <w:rFonts w:ascii="Times New Roman" w:hAnsi="Times New Roman" w:eastAsia="仿宋_GB2312"/>
          <w:kern w:val="0"/>
          <w:sz w:val="32"/>
          <w:szCs w:val="32"/>
        </w:rPr>
      </w:pPr>
      <w:r>
        <w:rPr>
          <w:rFonts w:hint="eastAsia" w:ascii="Times New Roman" w:hAnsi="Times New Roman" w:eastAsia="仿宋_GB2312"/>
          <w:kern w:val="0"/>
          <w:sz w:val="32"/>
          <w:szCs w:val="32"/>
        </w:rPr>
        <w:t>实施面积统计表</w:t>
      </w:r>
    </w:p>
    <w:p>
      <w:pPr>
        <w:spacing w:line="600" w:lineRule="exact"/>
        <w:ind w:firstLine="1632" w:firstLineChars="510"/>
        <w:rPr>
          <w:rFonts w:ascii="Times New Roman" w:hAnsi="Times New Roman" w:eastAsia="仿宋_GB2312"/>
          <w:kern w:val="0"/>
          <w:sz w:val="32"/>
          <w:szCs w:val="32"/>
        </w:rPr>
      </w:pPr>
      <w:r>
        <w:rPr>
          <w:rFonts w:hint="eastAsia" w:ascii="Times New Roman" w:hAnsi="Times New Roman" w:eastAsia="仿宋_GB2312"/>
          <w:kern w:val="0"/>
          <w:sz w:val="32"/>
          <w:szCs w:val="32"/>
        </w:rPr>
        <w:t>3．绿色防控示范基地病虫害管理档案</w:t>
      </w:r>
    </w:p>
    <w:p>
      <w:pPr>
        <w:spacing w:line="560" w:lineRule="exact"/>
        <w:rPr>
          <w:rFonts w:ascii="Times New Roman" w:hAnsi="Times New Roman" w:eastAsia="黑体"/>
          <w:color w:val="000000"/>
          <w:kern w:val="0"/>
          <w:sz w:val="28"/>
          <w:szCs w:val="28"/>
        </w:rPr>
      </w:pPr>
    </w:p>
    <w:p>
      <w:pPr>
        <w:widowControl/>
        <w:jc w:val="left"/>
        <w:rPr>
          <w:rFonts w:ascii="Times New Roman" w:hAnsi="Times New Roman" w:eastAsia="黑体"/>
          <w:color w:val="000000"/>
          <w:kern w:val="0"/>
          <w:sz w:val="32"/>
          <w:szCs w:val="28"/>
        </w:rPr>
      </w:pPr>
      <w:r>
        <w:rPr>
          <w:rFonts w:ascii="Times New Roman" w:hAnsi="Times New Roman" w:eastAsia="黑体"/>
          <w:color w:val="000000"/>
          <w:kern w:val="0"/>
          <w:sz w:val="32"/>
          <w:szCs w:val="28"/>
        </w:rPr>
        <w:br w:type="page"/>
      </w:r>
    </w:p>
    <w:p>
      <w:pPr>
        <w:rPr>
          <w:rFonts w:ascii="黑体" w:hAnsi="黑体" w:eastAsia="黑体" w:cs="Arial"/>
          <w:kern w:val="0"/>
          <w:szCs w:val="21"/>
        </w:rPr>
      </w:pPr>
      <w:r>
        <w:rPr>
          <w:rFonts w:ascii="Times New Roman" w:hAnsi="Times New Roman" w:eastAsia="黑体"/>
          <w:color w:val="000000"/>
          <w:kern w:val="0"/>
          <w:sz w:val="32"/>
          <w:szCs w:val="28"/>
        </w:rPr>
        <w:t>附</w:t>
      </w:r>
      <w:r>
        <w:rPr>
          <w:rFonts w:hint="eastAsia" w:ascii="Times New Roman" w:hAnsi="Times New Roman" w:eastAsia="黑体"/>
          <w:color w:val="000000"/>
          <w:kern w:val="0"/>
          <w:sz w:val="32"/>
          <w:szCs w:val="28"/>
        </w:rPr>
        <w:t>表</w:t>
      </w:r>
      <w:r>
        <w:rPr>
          <w:rFonts w:ascii="Times New Roman" w:hAnsi="Times New Roman" w:eastAsia="黑体"/>
          <w:color w:val="000000"/>
          <w:kern w:val="0"/>
          <w:sz w:val="32"/>
          <w:szCs w:val="28"/>
        </w:rPr>
        <w:t>1</w:t>
      </w:r>
    </w:p>
    <w:p>
      <w:pPr>
        <w:jc w:val="center"/>
        <w:rPr>
          <w:rFonts w:ascii="小标宋" w:hAnsi="黑体" w:eastAsia="小标宋" w:cs="Arial"/>
          <w:kern w:val="0"/>
          <w:sz w:val="32"/>
          <w:szCs w:val="28"/>
        </w:rPr>
      </w:pPr>
      <w:r>
        <w:rPr>
          <w:rFonts w:hint="eastAsia" w:ascii="小标宋" w:hAnsi="黑体" w:eastAsia="小标宋" w:cs="Arial"/>
          <w:kern w:val="0"/>
          <w:sz w:val="32"/>
          <w:szCs w:val="28"/>
        </w:rPr>
        <w:t>全国农作物病虫害绿色防控示范县申报表</w:t>
      </w:r>
    </w:p>
    <w:p>
      <w:pPr>
        <w:rPr>
          <w:rFonts w:ascii="楷体_GB2312" w:hAnsi="黑体" w:eastAsia="楷体_GB2312" w:cs="Arial"/>
          <w:b/>
          <w:kern w:val="0"/>
          <w:sz w:val="24"/>
          <w:szCs w:val="24"/>
        </w:rPr>
      </w:pPr>
      <w:r>
        <w:rPr>
          <w:rFonts w:hint="eastAsia" w:ascii="楷体_GB2312" w:hAnsi="黑体" w:eastAsia="楷体_GB2312" w:cs="Arial"/>
          <w:kern w:val="0"/>
          <w:sz w:val="24"/>
          <w:szCs w:val="24"/>
        </w:rPr>
        <w:t xml:space="preserve">填报单位盖章：                           县级农业主管部门盖章：       </w:t>
      </w:r>
    </w:p>
    <w:tbl>
      <w:tblPr>
        <w:tblStyle w:val="2"/>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1625"/>
        <w:gridCol w:w="1559"/>
        <w:gridCol w:w="2977"/>
        <w:gridCol w:w="1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3" w:type="dxa"/>
            <w:gridSpan w:val="2"/>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申报县名称</w:t>
            </w:r>
          </w:p>
        </w:tc>
        <w:tc>
          <w:tcPr>
            <w:tcW w:w="6098" w:type="dxa"/>
            <w:gridSpan w:val="3"/>
          </w:tcPr>
          <w:p>
            <w:pPr>
              <w:spacing w:line="440" w:lineRule="exact"/>
              <w:rPr>
                <w:rFonts w:ascii="Times New Roman" w:hAnsi="Times New Roman" w:eastAsia="楷体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3" w:type="dxa"/>
            <w:gridSpan w:val="2"/>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农业农村局负责人</w:t>
            </w:r>
          </w:p>
        </w:tc>
        <w:tc>
          <w:tcPr>
            <w:tcW w:w="1559" w:type="dxa"/>
          </w:tcPr>
          <w:p>
            <w:pPr>
              <w:spacing w:line="440" w:lineRule="exact"/>
              <w:rPr>
                <w:rFonts w:ascii="Times New Roman" w:hAnsi="Times New Roman" w:eastAsia="楷体_GB2312"/>
                <w:kern w:val="0"/>
                <w:szCs w:val="21"/>
              </w:rPr>
            </w:pPr>
          </w:p>
        </w:tc>
        <w:tc>
          <w:tcPr>
            <w:tcW w:w="2977"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联系电话</w:t>
            </w:r>
          </w:p>
        </w:tc>
        <w:tc>
          <w:tcPr>
            <w:tcW w:w="1562" w:type="dxa"/>
          </w:tcPr>
          <w:p>
            <w:pPr>
              <w:spacing w:line="440" w:lineRule="exact"/>
              <w:rPr>
                <w:rFonts w:ascii="Times New Roman" w:hAnsi="Times New Roman" w:eastAsia="楷体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3" w:type="dxa"/>
            <w:gridSpan w:val="2"/>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植物保护机构负责人</w:t>
            </w:r>
          </w:p>
        </w:tc>
        <w:tc>
          <w:tcPr>
            <w:tcW w:w="1559" w:type="dxa"/>
          </w:tcPr>
          <w:p>
            <w:pPr>
              <w:spacing w:line="440" w:lineRule="exact"/>
              <w:rPr>
                <w:rFonts w:ascii="Times New Roman" w:hAnsi="Times New Roman" w:eastAsia="楷体_GB2312"/>
                <w:kern w:val="0"/>
                <w:szCs w:val="21"/>
              </w:rPr>
            </w:pPr>
          </w:p>
        </w:tc>
        <w:tc>
          <w:tcPr>
            <w:tcW w:w="2977"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联系电话</w:t>
            </w:r>
          </w:p>
        </w:tc>
        <w:tc>
          <w:tcPr>
            <w:tcW w:w="1562" w:type="dxa"/>
          </w:tcPr>
          <w:p>
            <w:pPr>
              <w:spacing w:line="440" w:lineRule="exact"/>
              <w:rPr>
                <w:rFonts w:ascii="Times New Roman" w:hAnsi="Times New Roman" w:eastAsia="楷体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3" w:type="dxa"/>
            <w:gridSpan w:val="2"/>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主要作物名称</w:t>
            </w:r>
            <w:r>
              <w:rPr>
                <w:rFonts w:ascii="Times New Roman" w:hAnsi="Times New Roman" w:eastAsia="楷体_GB2312"/>
                <w:kern w:val="0"/>
                <w:szCs w:val="21"/>
              </w:rPr>
              <w:t>1</w:t>
            </w:r>
          </w:p>
        </w:tc>
        <w:tc>
          <w:tcPr>
            <w:tcW w:w="1559" w:type="dxa"/>
          </w:tcPr>
          <w:p>
            <w:pPr>
              <w:spacing w:line="440" w:lineRule="exact"/>
              <w:rPr>
                <w:rFonts w:ascii="Times New Roman" w:hAnsi="Times New Roman" w:eastAsia="楷体_GB2312"/>
                <w:kern w:val="0"/>
                <w:szCs w:val="21"/>
              </w:rPr>
            </w:pPr>
          </w:p>
        </w:tc>
        <w:tc>
          <w:tcPr>
            <w:tcW w:w="2977"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种植面积</w:t>
            </w:r>
          </w:p>
        </w:tc>
        <w:tc>
          <w:tcPr>
            <w:tcW w:w="1562" w:type="dxa"/>
          </w:tcPr>
          <w:p>
            <w:pPr>
              <w:spacing w:line="440" w:lineRule="exact"/>
              <w:rPr>
                <w:rFonts w:ascii="Times New Roman" w:hAnsi="Times New Roman" w:eastAsia="楷体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3" w:type="dxa"/>
            <w:gridSpan w:val="2"/>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主要作物名称</w:t>
            </w:r>
            <w:r>
              <w:rPr>
                <w:rFonts w:ascii="Times New Roman" w:hAnsi="Times New Roman" w:eastAsia="楷体_GB2312"/>
                <w:kern w:val="0"/>
                <w:szCs w:val="21"/>
              </w:rPr>
              <w:t>2</w:t>
            </w:r>
          </w:p>
        </w:tc>
        <w:tc>
          <w:tcPr>
            <w:tcW w:w="1559" w:type="dxa"/>
          </w:tcPr>
          <w:p>
            <w:pPr>
              <w:spacing w:line="440" w:lineRule="exact"/>
              <w:rPr>
                <w:rFonts w:ascii="Times New Roman" w:hAnsi="Times New Roman" w:eastAsia="楷体_GB2312"/>
                <w:kern w:val="0"/>
                <w:szCs w:val="21"/>
              </w:rPr>
            </w:pPr>
          </w:p>
        </w:tc>
        <w:tc>
          <w:tcPr>
            <w:tcW w:w="2977"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种植面积</w:t>
            </w:r>
          </w:p>
        </w:tc>
        <w:tc>
          <w:tcPr>
            <w:tcW w:w="1562" w:type="dxa"/>
          </w:tcPr>
          <w:p>
            <w:pPr>
              <w:spacing w:line="440" w:lineRule="exact"/>
              <w:rPr>
                <w:rFonts w:ascii="Times New Roman" w:hAnsi="Times New Roman" w:eastAsia="楷体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3" w:type="dxa"/>
            <w:gridSpan w:val="2"/>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主要作物绿色防控平均覆盖率（</w:t>
            </w:r>
            <w:r>
              <w:rPr>
                <w:rFonts w:ascii="Times New Roman" w:hAnsi="Times New Roman" w:eastAsia="楷体_GB2312"/>
                <w:kern w:val="0"/>
                <w:szCs w:val="21"/>
              </w:rPr>
              <w:t>%</w:t>
            </w:r>
            <w:r>
              <w:rPr>
                <w:rFonts w:hint="eastAsia" w:ascii="Times New Roman" w:hAnsi="Times New Roman" w:eastAsia="楷体_GB2312"/>
                <w:kern w:val="0"/>
                <w:szCs w:val="21"/>
              </w:rPr>
              <w:t>）</w:t>
            </w:r>
          </w:p>
        </w:tc>
        <w:tc>
          <w:tcPr>
            <w:tcW w:w="1559" w:type="dxa"/>
          </w:tcPr>
          <w:p>
            <w:pPr>
              <w:spacing w:line="440" w:lineRule="exact"/>
              <w:rPr>
                <w:rFonts w:ascii="Times New Roman" w:hAnsi="Times New Roman" w:eastAsia="楷体_GB2312"/>
                <w:kern w:val="0"/>
                <w:szCs w:val="21"/>
              </w:rPr>
            </w:pPr>
          </w:p>
        </w:tc>
        <w:tc>
          <w:tcPr>
            <w:tcW w:w="2977"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农户接受绿色防控培训的比例（</w:t>
            </w:r>
            <w:r>
              <w:rPr>
                <w:rFonts w:ascii="Times New Roman" w:hAnsi="Times New Roman" w:eastAsia="楷体_GB2312"/>
                <w:kern w:val="0"/>
                <w:szCs w:val="21"/>
              </w:rPr>
              <w:t>%</w:t>
            </w:r>
            <w:r>
              <w:rPr>
                <w:rFonts w:hint="eastAsia" w:ascii="Times New Roman" w:hAnsi="Times New Roman" w:eastAsia="楷体_GB2312"/>
                <w:kern w:val="0"/>
                <w:szCs w:val="21"/>
              </w:rPr>
              <w:t>）</w:t>
            </w:r>
          </w:p>
        </w:tc>
        <w:tc>
          <w:tcPr>
            <w:tcW w:w="1562" w:type="dxa"/>
          </w:tcPr>
          <w:p>
            <w:pPr>
              <w:spacing w:line="440" w:lineRule="exact"/>
              <w:rPr>
                <w:rFonts w:ascii="Times New Roman" w:hAnsi="Times New Roman" w:eastAsia="楷体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3" w:type="dxa"/>
            <w:gridSpan w:val="2"/>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化学农药减少使用（</w:t>
            </w:r>
            <w:r>
              <w:rPr>
                <w:rFonts w:ascii="Times New Roman" w:hAnsi="Times New Roman" w:eastAsia="楷体_GB2312"/>
                <w:kern w:val="0"/>
                <w:szCs w:val="21"/>
              </w:rPr>
              <w:t>%</w:t>
            </w:r>
            <w:r>
              <w:rPr>
                <w:rFonts w:hint="eastAsia" w:ascii="Times New Roman" w:hAnsi="Times New Roman" w:eastAsia="楷体_GB2312"/>
                <w:kern w:val="0"/>
                <w:szCs w:val="21"/>
              </w:rPr>
              <w:t>）</w:t>
            </w:r>
          </w:p>
        </w:tc>
        <w:tc>
          <w:tcPr>
            <w:tcW w:w="1559" w:type="dxa"/>
          </w:tcPr>
          <w:p>
            <w:pPr>
              <w:spacing w:line="440" w:lineRule="exact"/>
              <w:rPr>
                <w:rFonts w:ascii="Times New Roman" w:hAnsi="Times New Roman" w:eastAsia="楷体_GB2312"/>
                <w:kern w:val="0"/>
                <w:szCs w:val="21"/>
              </w:rPr>
            </w:pPr>
          </w:p>
        </w:tc>
        <w:tc>
          <w:tcPr>
            <w:tcW w:w="2977"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病虫害综合防控效果（</w:t>
            </w:r>
            <w:r>
              <w:rPr>
                <w:rFonts w:ascii="Times New Roman" w:hAnsi="Times New Roman" w:eastAsia="楷体_GB2312"/>
                <w:kern w:val="0"/>
                <w:szCs w:val="21"/>
              </w:rPr>
              <w:t>%</w:t>
            </w:r>
            <w:r>
              <w:rPr>
                <w:rFonts w:hint="eastAsia" w:ascii="Times New Roman" w:hAnsi="Times New Roman" w:eastAsia="楷体_GB2312"/>
                <w:kern w:val="0"/>
                <w:szCs w:val="21"/>
              </w:rPr>
              <w:t>）</w:t>
            </w:r>
          </w:p>
        </w:tc>
        <w:tc>
          <w:tcPr>
            <w:tcW w:w="1562" w:type="dxa"/>
          </w:tcPr>
          <w:p>
            <w:pPr>
              <w:spacing w:line="440" w:lineRule="exact"/>
              <w:rPr>
                <w:rFonts w:ascii="Times New Roman" w:hAnsi="Times New Roman" w:eastAsia="楷体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3" w:type="dxa"/>
            <w:gridSpan w:val="2"/>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危害损失率（</w:t>
            </w:r>
            <w:r>
              <w:rPr>
                <w:rFonts w:ascii="Times New Roman" w:hAnsi="Times New Roman" w:eastAsia="楷体_GB2312"/>
                <w:kern w:val="0"/>
                <w:szCs w:val="21"/>
              </w:rPr>
              <w:t>%</w:t>
            </w:r>
            <w:r>
              <w:rPr>
                <w:rFonts w:hint="eastAsia" w:ascii="Times New Roman" w:hAnsi="Times New Roman" w:eastAsia="楷体_GB2312"/>
                <w:kern w:val="0"/>
                <w:szCs w:val="21"/>
              </w:rPr>
              <w:t>）</w:t>
            </w:r>
          </w:p>
        </w:tc>
        <w:tc>
          <w:tcPr>
            <w:tcW w:w="1559" w:type="dxa"/>
          </w:tcPr>
          <w:p>
            <w:pPr>
              <w:spacing w:line="440" w:lineRule="exact"/>
              <w:rPr>
                <w:rFonts w:ascii="Times New Roman" w:hAnsi="Times New Roman" w:eastAsia="楷体_GB2312"/>
                <w:kern w:val="0"/>
                <w:szCs w:val="21"/>
              </w:rPr>
            </w:pPr>
          </w:p>
        </w:tc>
        <w:tc>
          <w:tcPr>
            <w:tcW w:w="2977"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带动农产品品牌发展的个数（个）</w:t>
            </w:r>
          </w:p>
        </w:tc>
        <w:tc>
          <w:tcPr>
            <w:tcW w:w="1562" w:type="dxa"/>
          </w:tcPr>
          <w:p>
            <w:pPr>
              <w:spacing w:line="440" w:lineRule="exact"/>
              <w:rPr>
                <w:rFonts w:ascii="Times New Roman" w:hAnsi="Times New Roman" w:eastAsia="楷体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3" w:type="dxa"/>
            <w:gridSpan w:val="2"/>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有无完整的田间生产管理档案</w:t>
            </w:r>
          </w:p>
        </w:tc>
        <w:tc>
          <w:tcPr>
            <w:tcW w:w="1559"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有（</w:t>
            </w:r>
            <w:r>
              <w:rPr>
                <w:rFonts w:ascii="Times New Roman" w:hAnsi="Times New Roman" w:eastAsia="楷体_GB2312"/>
                <w:kern w:val="0"/>
                <w:szCs w:val="21"/>
              </w:rPr>
              <w:t xml:space="preserve">  </w:t>
            </w:r>
            <w:r>
              <w:rPr>
                <w:rFonts w:hint="eastAsia" w:ascii="Times New Roman" w:hAnsi="Times New Roman" w:eastAsia="楷体_GB2312"/>
                <w:kern w:val="0"/>
                <w:szCs w:val="21"/>
              </w:rPr>
              <w:t>）</w:t>
            </w:r>
          </w:p>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无（</w:t>
            </w:r>
            <w:r>
              <w:rPr>
                <w:rFonts w:ascii="Times New Roman" w:hAnsi="Times New Roman" w:eastAsia="楷体_GB2312"/>
                <w:kern w:val="0"/>
                <w:szCs w:val="21"/>
              </w:rPr>
              <w:t xml:space="preserve">  </w:t>
            </w:r>
            <w:r>
              <w:rPr>
                <w:rFonts w:hint="eastAsia" w:ascii="Times New Roman" w:hAnsi="Times New Roman" w:eastAsia="楷体_GB2312"/>
                <w:kern w:val="0"/>
                <w:szCs w:val="21"/>
              </w:rPr>
              <w:t>）</w:t>
            </w:r>
          </w:p>
        </w:tc>
        <w:tc>
          <w:tcPr>
            <w:tcW w:w="2977"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有无农产品农药检测未达标情况发生</w:t>
            </w:r>
          </w:p>
        </w:tc>
        <w:tc>
          <w:tcPr>
            <w:tcW w:w="1562"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有（</w:t>
            </w:r>
            <w:r>
              <w:rPr>
                <w:rFonts w:ascii="Times New Roman" w:hAnsi="Times New Roman" w:eastAsia="楷体_GB2312"/>
                <w:kern w:val="0"/>
                <w:szCs w:val="21"/>
              </w:rPr>
              <w:t xml:space="preserve">  </w:t>
            </w:r>
            <w:r>
              <w:rPr>
                <w:rFonts w:hint="eastAsia" w:ascii="Times New Roman" w:hAnsi="Times New Roman" w:eastAsia="楷体_GB2312"/>
                <w:kern w:val="0"/>
                <w:szCs w:val="21"/>
              </w:rPr>
              <w:t>）</w:t>
            </w:r>
          </w:p>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无（</w:t>
            </w:r>
            <w:r>
              <w:rPr>
                <w:rFonts w:ascii="Times New Roman" w:hAnsi="Times New Roman" w:eastAsia="楷体_GB2312"/>
                <w:kern w:val="0"/>
                <w:szCs w:val="21"/>
              </w:rPr>
              <w:t xml:space="preserve">  </w:t>
            </w:r>
            <w:r>
              <w:rPr>
                <w:rFonts w:hint="eastAsia" w:ascii="Times New Roman" w:hAnsi="Times New Roman" w:eastAsia="楷体_GB2312"/>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3" w:type="dxa"/>
            <w:gridSpan w:val="2"/>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有无违禁农药使用情况发生</w:t>
            </w:r>
          </w:p>
        </w:tc>
        <w:tc>
          <w:tcPr>
            <w:tcW w:w="1559"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有（</w:t>
            </w:r>
            <w:r>
              <w:rPr>
                <w:rFonts w:ascii="Times New Roman" w:hAnsi="Times New Roman" w:eastAsia="楷体_GB2312"/>
                <w:kern w:val="0"/>
                <w:szCs w:val="21"/>
              </w:rPr>
              <w:t xml:space="preserve">  </w:t>
            </w:r>
            <w:r>
              <w:rPr>
                <w:rFonts w:hint="eastAsia" w:ascii="Times New Roman" w:hAnsi="Times New Roman" w:eastAsia="楷体_GB2312"/>
                <w:kern w:val="0"/>
                <w:szCs w:val="21"/>
              </w:rPr>
              <w:t>）</w:t>
            </w:r>
          </w:p>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无（</w:t>
            </w:r>
            <w:r>
              <w:rPr>
                <w:rFonts w:ascii="Times New Roman" w:hAnsi="Times New Roman" w:eastAsia="楷体_GB2312"/>
                <w:kern w:val="0"/>
                <w:szCs w:val="21"/>
              </w:rPr>
              <w:t xml:space="preserve">  </w:t>
            </w:r>
            <w:r>
              <w:rPr>
                <w:rFonts w:hint="eastAsia" w:ascii="Times New Roman" w:hAnsi="Times New Roman" w:eastAsia="楷体_GB2312"/>
                <w:kern w:val="0"/>
                <w:szCs w:val="21"/>
              </w:rPr>
              <w:t>）</w:t>
            </w:r>
          </w:p>
        </w:tc>
        <w:tc>
          <w:tcPr>
            <w:tcW w:w="2977"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有无安全性事故发生</w:t>
            </w:r>
          </w:p>
        </w:tc>
        <w:tc>
          <w:tcPr>
            <w:tcW w:w="1562" w:type="dxa"/>
          </w:tcPr>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有（</w:t>
            </w:r>
            <w:r>
              <w:rPr>
                <w:rFonts w:ascii="Times New Roman" w:hAnsi="Times New Roman" w:eastAsia="楷体_GB2312"/>
                <w:kern w:val="0"/>
                <w:szCs w:val="21"/>
              </w:rPr>
              <w:t xml:space="preserve">  </w:t>
            </w:r>
            <w:r>
              <w:rPr>
                <w:rFonts w:hint="eastAsia" w:ascii="Times New Roman" w:hAnsi="Times New Roman" w:eastAsia="楷体_GB2312"/>
                <w:kern w:val="0"/>
                <w:szCs w:val="21"/>
              </w:rPr>
              <w:t>）</w:t>
            </w:r>
          </w:p>
          <w:p>
            <w:pPr>
              <w:spacing w:line="440" w:lineRule="exact"/>
              <w:rPr>
                <w:rFonts w:ascii="Times New Roman" w:hAnsi="Times New Roman" w:eastAsia="楷体_GB2312"/>
                <w:kern w:val="0"/>
                <w:szCs w:val="21"/>
              </w:rPr>
            </w:pPr>
            <w:r>
              <w:rPr>
                <w:rFonts w:hint="eastAsia" w:ascii="Times New Roman" w:hAnsi="Times New Roman" w:eastAsia="楷体_GB2312"/>
                <w:kern w:val="0"/>
                <w:szCs w:val="21"/>
              </w:rPr>
              <w:t>无（</w:t>
            </w:r>
            <w:r>
              <w:rPr>
                <w:rFonts w:ascii="Times New Roman" w:hAnsi="Times New Roman" w:eastAsia="楷体_GB2312"/>
                <w:kern w:val="0"/>
                <w:szCs w:val="21"/>
              </w:rPr>
              <w:t xml:space="preserve">  </w:t>
            </w:r>
            <w:r>
              <w:rPr>
                <w:rFonts w:hint="eastAsia" w:ascii="Times New Roman" w:hAnsi="Times New Roman" w:eastAsia="楷体_GB2312"/>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3" w:hRule="atLeast"/>
          <w:jc w:val="center"/>
        </w:trPr>
        <w:tc>
          <w:tcPr>
            <w:tcW w:w="1208" w:type="dxa"/>
          </w:tcPr>
          <w:p>
            <w:pPr>
              <w:spacing w:line="440" w:lineRule="exact"/>
              <w:jc w:val="center"/>
              <w:rPr>
                <w:rFonts w:ascii="Times New Roman" w:hAnsi="Times New Roman" w:eastAsia="楷体_GB2312"/>
                <w:kern w:val="0"/>
                <w:szCs w:val="21"/>
              </w:rPr>
            </w:pPr>
          </w:p>
          <w:p>
            <w:pPr>
              <w:spacing w:line="440" w:lineRule="exact"/>
              <w:jc w:val="center"/>
              <w:rPr>
                <w:rFonts w:ascii="Times New Roman" w:hAnsi="Times New Roman" w:eastAsia="楷体_GB2312"/>
                <w:kern w:val="0"/>
                <w:szCs w:val="21"/>
              </w:rPr>
            </w:pPr>
          </w:p>
          <w:p>
            <w:pPr>
              <w:spacing w:line="440" w:lineRule="exact"/>
              <w:jc w:val="center"/>
              <w:rPr>
                <w:rFonts w:ascii="Times New Roman" w:hAnsi="Times New Roman" w:eastAsia="楷体_GB2312"/>
                <w:kern w:val="0"/>
                <w:szCs w:val="21"/>
              </w:rPr>
            </w:pPr>
          </w:p>
          <w:p>
            <w:pPr>
              <w:spacing w:line="440" w:lineRule="exact"/>
              <w:jc w:val="center"/>
              <w:rPr>
                <w:rFonts w:ascii="Times New Roman" w:hAnsi="Times New Roman" w:eastAsia="楷体_GB2312"/>
                <w:kern w:val="0"/>
                <w:szCs w:val="21"/>
              </w:rPr>
            </w:pPr>
            <w:r>
              <w:rPr>
                <w:rFonts w:hint="eastAsia" w:ascii="Times New Roman" w:hAnsi="Times New Roman" w:eastAsia="楷体_GB2312"/>
                <w:kern w:val="0"/>
                <w:szCs w:val="21"/>
              </w:rPr>
              <w:t>省级推荐单位意见</w:t>
            </w:r>
          </w:p>
          <w:p>
            <w:pPr>
              <w:spacing w:line="440" w:lineRule="exact"/>
              <w:jc w:val="center"/>
              <w:rPr>
                <w:rFonts w:ascii="Times New Roman" w:hAnsi="Times New Roman" w:eastAsia="楷体_GB2312"/>
                <w:kern w:val="0"/>
                <w:szCs w:val="21"/>
              </w:rPr>
            </w:pPr>
          </w:p>
          <w:p>
            <w:pPr>
              <w:spacing w:line="440" w:lineRule="exact"/>
              <w:jc w:val="center"/>
              <w:rPr>
                <w:rFonts w:ascii="Times New Roman" w:hAnsi="Times New Roman" w:eastAsia="楷体_GB2312"/>
                <w:kern w:val="0"/>
                <w:szCs w:val="21"/>
              </w:rPr>
            </w:pPr>
          </w:p>
          <w:p>
            <w:pPr>
              <w:spacing w:line="440" w:lineRule="exact"/>
              <w:jc w:val="center"/>
              <w:rPr>
                <w:rFonts w:ascii="Times New Roman" w:hAnsi="Times New Roman" w:eastAsia="楷体_GB2312"/>
                <w:kern w:val="0"/>
                <w:szCs w:val="21"/>
              </w:rPr>
            </w:pPr>
          </w:p>
        </w:tc>
        <w:tc>
          <w:tcPr>
            <w:tcW w:w="7723" w:type="dxa"/>
            <w:gridSpan w:val="4"/>
          </w:tcPr>
          <w:p>
            <w:pPr>
              <w:spacing w:line="440" w:lineRule="exact"/>
              <w:rPr>
                <w:rFonts w:ascii="Times New Roman" w:hAnsi="Times New Roman" w:eastAsia="楷体_GB2312"/>
                <w:kern w:val="0"/>
                <w:szCs w:val="21"/>
              </w:rPr>
            </w:pPr>
          </w:p>
          <w:p>
            <w:pPr>
              <w:spacing w:line="440" w:lineRule="exact"/>
              <w:rPr>
                <w:rFonts w:ascii="Times New Roman" w:hAnsi="Times New Roman" w:eastAsia="楷体_GB2312"/>
                <w:kern w:val="0"/>
                <w:szCs w:val="21"/>
              </w:rPr>
            </w:pPr>
          </w:p>
          <w:p>
            <w:pPr>
              <w:spacing w:line="440" w:lineRule="exact"/>
              <w:rPr>
                <w:rFonts w:ascii="Times New Roman" w:hAnsi="Times New Roman" w:eastAsia="楷体_GB2312"/>
                <w:kern w:val="0"/>
                <w:szCs w:val="21"/>
              </w:rPr>
            </w:pPr>
          </w:p>
          <w:p>
            <w:pPr>
              <w:spacing w:line="440" w:lineRule="exact"/>
              <w:rPr>
                <w:rFonts w:ascii="Times New Roman" w:hAnsi="Times New Roman" w:eastAsia="楷体_GB2312"/>
                <w:kern w:val="0"/>
                <w:szCs w:val="21"/>
              </w:rPr>
            </w:pPr>
          </w:p>
          <w:p>
            <w:pPr>
              <w:spacing w:line="440" w:lineRule="exact"/>
              <w:rPr>
                <w:rFonts w:ascii="Times New Roman" w:hAnsi="Times New Roman" w:eastAsia="楷体_GB2312"/>
                <w:kern w:val="0"/>
                <w:szCs w:val="21"/>
              </w:rPr>
            </w:pPr>
          </w:p>
          <w:p>
            <w:pPr>
              <w:spacing w:line="440" w:lineRule="exact"/>
              <w:ind w:firstLine="5670" w:firstLineChars="2700"/>
              <w:rPr>
                <w:rFonts w:ascii="Times New Roman" w:hAnsi="Times New Roman" w:eastAsia="楷体_GB2312"/>
                <w:kern w:val="0"/>
                <w:szCs w:val="21"/>
              </w:rPr>
            </w:pPr>
            <w:r>
              <w:rPr>
                <w:rFonts w:hint="eastAsia" w:ascii="Times New Roman" w:hAnsi="Times New Roman" w:eastAsia="楷体_GB2312"/>
                <w:kern w:val="0"/>
                <w:szCs w:val="21"/>
              </w:rPr>
              <w:t>（签字盖章）</w:t>
            </w:r>
          </w:p>
          <w:p>
            <w:pPr>
              <w:spacing w:line="440" w:lineRule="exact"/>
              <w:rPr>
                <w:rFonts w:ascii="Times New Roman" w:hAnsi="Times New Roman" w:eastAsia="楷体_GB2312"/>
                <w:kern w:val="0"/>
                <w:szCs w:val="21"/>
              </w:rPr>
            </w:pPr>
          </w:p>
          <w:p>
            <w:pPr>
              <w:spacing w:line="440" w:lineRule="exact"/>
              <w:rPr>
                <w:rFonts w:ascii="Times New Roman" w:hAnsi="Times New Roman" w:eastAsia="楷体_GB2312"/>
                <w:kern w:val="0"/>
                <w:szCs w:val="21"/>
              </w:rPr>
            </w:pPr>
            <w:r>
              <w:rPr>
                <w:rFonts w:ascii="Times New Roman" w:hAnsi="Times New Roman" w:eastAsia="楷体_GB2312"/>
                <w:kern w:val="0"/>
                <w:szCs w:val="21"/>
              </w:rPr>
              <w:t xml:space="preserve">                                                      </w:t>
            </w:r>
            <w:r>
              <w:rPr>
                <w:rFonts w:hint="eastAsia" w:ascii="Times New Roman" w:hAnsi="Times New Roman" w:eastAsia="楷体_GB2312"/>
                <w:kern w:val="0"/>
                <w:szCs w:val="21"/>
              </w:rPr>
              <w:t>年</w:t>
            </w:r>
            <w:r>
              <w:rPr>
                <w:rFonts w:ascii="Times New Roman" w:hAnsi="Times New Roman" w:eastAsia="楷体_GB2312"/>
                <w:kern w:val="0"/>
                <w:szCs w:val="21"/>
              </w:rPr>
              <w:t xml:space="preserve">   </w:t>
            </w:r>
            <w:r>
              <w:rPr>
                <w:rFonts w:hint="eastAsia" w:ascii="Times New Roman" w:hAnsi="Times New Roman" w:eastAsia="楷体_GB2312"/>
                <w:kern w:val="0"/>
                <w:szCs w:val="21"/>
              </w:rPr>
              <w:t>月</w:t>
            </w:r>
            <w:r>
              <w:rPr>
                <w:rFonts w:ascii="Times New Roman" w:hAnsi="Times New Roman" w:eastAsia="楷体_GB2312"/>
                <w:kern w:val="0"/>
                <w:szCs w:val="21"/>
              </w:rPr>
              <w:t xml:space="preserve">   </w:t>
            </w:r>
            <w:r>
              <w:rPr>
                <w:rFonts w:hint="eastAsia" w:ascii="Times New Roman" w:hAnsi="Times New Roman" w:eastAsia="楷体_GB2312"/>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208" w:type="dxa"/>
          </w:tcPr>
          <w:p>
            <w:pPr>
              <w:spacing w:line="440" w:lineRule="exact"/>
              <w:jc w:val="center"/>
              <w:rPr>
                <w:rFonts w:ascii="Times New Roman" w:hAnsi="Times New Roman" w:eastAsia="楷体_GB2312"/>
                <w:kern w:val="0"/>
                <w:szCs w:val="21"/>
              </w:rPr>
            </w:pPr>
            <w:r>
              <w:rPr>
                <w:rFonts w:hint="eastAsia" w:ascii="Times New Roman" w:hAnsi="Times New Roman" w:eastAsia="楷体_GB2312"/>
                <w:kern w:val="0"/>
                <w:szCs w:val="21"/>
              </w:rPr>
              <w:t>推荐单位联系人</w:t>
            </w:r>
          </w:p>
        </w:tc>
        <w:tc>
          <w:tcPr>
            <w:tcW w:w="7723" w:type="dxa"/>
            <w:gridSpan w:val="4"/>
          </w:tcPr>
          <w:p>
            <w:pPr>
              <w:spacing w:line="440" w:lineRule="exact"/>
              <w:ind w:firstLine="210" w:firstLineChars="100"/>
              <w:rPr>
                <w:rFonts w:ascii="Times New Roman" w:hAnsi="Times New Roman" w:eastAsia="楷体_GB2312"/>
                <w:kern w:val="0"/>
                <w:szCs w:val="21"/>
              </w:rPr>
            </w:pPr>
          </w:p>
          <w:p>
            <w:pPr>
              <w:spacing w:line="440" w:lineRule="exact"/>
              <w:ind w:firstLine="210" w:firstLineChars="100"/>
              <w:rPr>
                <w:rFonts w:ascii="Times New Roman" w:hAnsi="Times New Roman" w:eastAsia="楷体_GB2312"/>
                <w:kern w:val="0"/>
                <w:szCs w:val="21"/>
              </w:rPr>
            </w:pPr>
          </w:p>
          <w:p>
            <w:pPr>
              <w:spacing w:line="440" w:lineRule="exact"/>
              <w:ind w:firstLine="210" w:firstLineChars="100"/>
              <w:rPr>
                <w:rFonts w:ascii="Times New Roman" w:hAnsi="Times New Roman" w:eastAsia="楷体_GB2312"/>
                <w:kern w:val="0"/>
                <w:szCs w:val="21"/>
              </w:rPr>
            </w:pPr>
          </w:p>
          <w:p>
            <w:pPr>
              <w:spacing w:line="440" w:lineRule="exact"/>
              <w:ind w:firstLine="210" w:firstLineChars="100"/>
              <w:rPr>
                <w:rFonts w:ascii="Times New Roman" w:hAnsi="Times New Roman" w:eastAsia="楷体_GB2312"/>
                <w:kern w:val="0"/>
                <w:szCs w:val="21"/>
              </w:rPr>
            </w:pPr>
          </w:p>
          <w:p>
            <w:pPr>
              <w:spacing w:line="440" w:lineRule="exact"/>
              <w:ind w:firstLine="3465" w:firstLineChars="1650"/>
              <w:rPr>
                <w:rFonts w:ascii="Times New Roman" w:hAnsi="Times New Roman" w:eastAsia="楷体_GB2312"/>
                <w:kern w:val="0"/>
                <w:szCs w:val="21"/>
              </w:rPr>
            </w:pPr>
            <w:r>
              <w:rPr>
                <w:rFonts w:hint="eastAsia" w:ascii="Times New Roman" w:hAnsi="Times New Roman" w:eastAsia="楷体_GB2312"/>
                <w:kern w:val="0"/>
                <w:szCs w:val="21"/>
              </w:rPr>
              <w:t>姓名：</w:t>
            </w:r>
            <w:r>
              <w:rPr>
                <w:rFonts w:ascii="Times New Roman" w:hAnsi="Times New Roman" w:eastAsia="楷体_GB2312"/>
                <w:kern w:val="0"/>
                <w:szCs w:val="21"/>
              </w:rPr>
              <w:t xml:space="preserve">               </w:t>
            </w:r>
            <w:r>
              <w:rPr>
                <w:rFonts w:hint="eastAsia" w:ascii="Times New Roman" w:hAnsi="Times New Roman" w:eastAsia="楷体_GB2312"/>
                <w:kern w:val="0"/>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5"/>
          </w:tcPr>
          <w:p>
            <w:pPr>
              <w:spacing w:line="440" w:lineRule="exact"/>
              <w:jc w:val="center"/>
              <w:rPr>
                <w:rFonts w:ascii="Times New Roman" w:hAnsi="Times New Roman" w:eastAsia="楷体_GB2312"/>
                <w:kern w:val="0"/>
                <w:szCs w:val="21"/>
              </w:rPr>
            </w:pPr>
            <w:r>
              <w:rPr>
                <w:rFonts w:hint="eastAsia" w:ascii="Times New Roman" w:hAnsi="Times New Roman" w:eastAsia="楷体_GB2312"/>
                <w:kern w:val="0"/>
                <w:szCs w:val="21"/>
              </w:rPr>
              <w:t>创建工作总结摘要（限</w:t>
            </w:r>
            <w:r>
              <w:rPr>
                <w:rFonts w:ascii="Times New Roman" w:hAnsi="Times New Roman" w:eastAsia="楷体_GB2312"/>
                <w:kern w:val="0"/>
                <w:szCs w:val="21"/>
              </w:rPr>
              <w:t>1500</w:t>
            </w:r>
            <w:r>
              <w:rPr>
                <w:rFonts w:hint="eastAsia" w:ascii="Times New Roman" w:hAnsi="Times New Roman" w:eastAsia="楷体_GB2312"/>
                <w:kern w:val="0"/>
                <w:szCs w:val="21"/>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1" w:type="dxa"/>
            <w:gridSpan w:val="5"/>
          </w:tcPr>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p>
            <w:pPr>
              <w:spacing w:line="440" w:lineRule="exact"/>
              <w:rPr>
                <w:rFonts w:ascii="Times New Roman" w:hAnsi="Times New Roman" w:eastAsia="黑体"/>
                <w:kern w:val="0"/>
                <w:szCs w:val="21"/>
              </w:rPr>
            </w:pPr>
          </w:p>
        </w:tc>
      </w:tr>
    </w:tbl>
    <w:p>
      <w:pPr>
        <w:spacing w:line="240" w:lineRule="exact"/>
        <w:rPr>
          <w:rFonts w:ascii="Times New Roman" w:hAnsi="Times New Roman" w:eastAsia="黑体"/>
          <w:color w:val="000000"/>
          <w:kern w:val="0"/>
          <w:sz w:val="28"/>
          <w:szCs w:val="28"/>
        </w:rPr>
      </w:pPr>
    </w:p>
    <w:p>
      <w:pPr>
        <w:rPr>
          <w:rFonts w:ascii="黑体" w:hAnsi="黑体" w:eastAsia="黑体" w:cs="Arial"/>
          <w:kern w:val="0"/>
          <w:sz w:val="28"/>
          <w:szCs w:val="28"/>
        </w:rPr>
      </w:pPr>
      <w:r>
        <w:rPr>
          <w:rFonts w:ascii="Times New Roman" w:hAnsi="Times New Roman" w:eastAsia="黑体"/>
          <w:color w:val="000000"/>
          <w:kern w:val="0"/>
          <w:sz w:val="32"/>
          <w:szCs w:val="28"/>
        </w:rPr>
        <w:br w:type="page"/>
      </w:r>
      <w:r>
        <w:rPr>
          <w:rFonts w:ascii="Times New Roman" w:hAnsi="Times New Roman" w:eastAsia="黑体"/>
          <w:color w:val="000000"/>
          <w:kern w:val="0"/>
          <w:sz w:val="32"/>
          <w:szCs w:val="28"/>
        </w:rPr>
        <w:t>附</w:t>
      </w:r>
      <w:r>
        <w:rPr>
          <w:rFonts w:hint="eastAsia" w:ascii="Times New Roman" w:hAnsi="Times New Roman" w:eastAsia="黑体"/>
          <w:color w:val="000000"/>
          <w:kern w:val="0"/>
          <w:sz w:val="32"/>
          <w:szCs w:val="28"/>
        </w:rPr>
        <w:t>表2</w:t>
      </w:r>
    </w:p>
    <w:p>
      <w:pPr>
        <w:jc w:val="center"/>
        <w:rPr>
          <w:rFonts w:ascii="小标宋" w:hAnsi="黑体" w:eastAsia="小标宋" w:cs="Arial"/>
          <w:kern w:val="0"/>
          <w:sz w:val="32"/>
          <w:szCs w:val="28"/>
        </w:rPr>
      </w:pPr>
      <w:r>
        <w:rPr>
          <w:rFonts w:hint="eastAsia" w:ascii="小标宋" w:hAnsi="黑体" w:eastAsia="小标宋" w:cs="Arial"/>
          <w:kern w:val="0"/>
          <w:sz w:val="32"/>
          <w:szCs w:val="28"/>
        </w:rPr>
        <w:t>绿色防控示范县主要农作物病虫害绿色防控实施面积统计表</w:t>
      </w:r>
    </w:p>
    <w:tbl>
      <w:tblPr>
        <w:tblStyle w:val="2"/>
        <w:tblW w:w="91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0"/>
        <w:gridCol w:w="952"/>
        <w:gridCol w:w="1639"/>
        <w:gridCol w:w="2062"/>
        <w:gridCol w:w="2250"/>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exact"/>
          <w:jc w:val="center"/>
        </w:trPr>
        <w:tc>
          <w:tcPr>
            <w:tcW w:w="2352" w:type="dxa"/>
            <w:gridSpan w:val="2"/>
            <w:vAlign w:val="center"/>
          </w:tcPr>
          <w:p>
            <w:pPr>
              <w:spacing w:line="320" w:lineRule="exact"/>
              <w:jc w:val="center"/>
              <w:rPr>
                <w:rFonts w:ascii="楷体_GB2312" w:hAnsi="黑体" w:eastAsia="楷体_GB2312" w:cs="仿宋"/>
                <w:color w:val="000000"/>
                <w:szCs w:val="21"/>
              </w:rPr>
            </w:pPr>
            <w:r>
              <w:rPr>
                <w:rFonts w:hint="eastAsia" w:ascii="楷体_GB2312" w:hAnsi="黑体" w:eastAsia="楷体_GB2312" w:cs="仿宋"/>
                <w:color w:val="000000"/>
                <w:szCs w:val="21"/>
              </w:rPr>
              <w:t>作物名称</w:t>
            </w:r>
          </w:p>
        </w:tc>
        <w:tc>
          <w:tcPr>
            <w:tcW w:w="1639" w:type="dxa"/>
            <w:vAlign w:val="center"/>
          </w:tcPr>
          <w:p>
            <w:pPr>
              <w:spacing w:line="320" w:lineRule="exact"/>
              <w:jc w:val="center"/>
              <w:rPr>
                <w:rFonts w:ascii="楷体_GB2312" w:hAnsi="黑体" w:eastAsia="楷体_GB2312" w:cs="仿宋"/>
                <w:color w:val="000000"/>
                <w:szCs w:val="21"/>
              </w:rPr>
            </w:pPr>
            <w:r>
              <w:rPr>
                <w:rFonts w:hint="eastAsia" w:ascii="楷体_GB2312" w:hAnsi="黑体" w:eastAsia="楷体_GB2312" w:cs="仿宋"/>
                <w:color w:val="000000"/>
                <w:szCs w:val="21"/>
              </w:rPr>
              <w:t>播种面积</w:t>
            </w:r>
          </w:p>
          <w:p>
            <w:pPr>
              <w:spacing w:line="320" w:lineRule="exact"/>
              <w:jc w:val="center"/>
              <w:rPr>
                <w:rFonts w:ascii="楷体_GB2312" w:hAnsi="黑体" w:eastAsia="楷体_GB2312" w:cs="仿宋"/>
                <w:color w:val="000000"/>
                <w:szCs w:val="21"/>
              </w:rPr>
            </w:pPr>
            <w:r>
              <w:rPr>
                <w:rFonts w:hint="eastAsia" w:ascii="楷体_GB2312" w:hAnsi="黑体" w:eastAsia="楷体_GB2312" w:cs="仿宋"/>
                <w:color w:val="000000"/>
                <w:szCs w:val="21"/>
              </w:rPr>
              <w:t>（万亩）</w:t>
            </w:r>
          </w:p>
        </w:tc>
        <w:tc>
          <w:tcPr>
            <w:tcW w:w="2062" w:type="dxa"/>
            <w:vAlign w:val="center"/>
          </w:tcPr>
          <w:p>
            <w:pPr>
              <w:spacing w:line="320" w:lineRule="exact"/>
              <w:jc w:val="center"/>
              <w:rPr>
                <w:rFonts w:ascii="楷体_GB2312" w:hAnsi="黑体" w:eastAsia="楷体_GB2312" w:cs="仿宋"/>
                <w:color w:val="000000"/>
                <w:szCs w:val="21"/>
              </w:rPr>
            </w:pPr>
            <w:r>
              <w:rPr>
                <w:rFonts w:hint="eastAsia" w:ascii="楷体_GB2312" w:hAnsi="黑体" w:eastAsia="楷体_GB2312" w:cs="仿宋"/>
                <w:color w:val="000000"/>
                <w:szCs w:val="21"/>
              </w:rPr>
              <w:t>绿色防控实施面积</w:t>
            </w:r>
          </w:p>
          <w:p>
            <w:pPr>
              <w:spacing w:line="320" w:lineRule="exact"/>
              <w:jc w:val="center"/>
              <w:rPr>
                <w:rFonts w:ascii="楷体_GB2312" w:hAnsi="黑体" w:eastAsia="楷体_GB2312" w:cs="仿宋"/>
                <w:color w:val="000000"/>
                <w:szCs w:val="21"/>
              </w:rPr>
            </w:pPr>
            <w:r>
              <w:rPr>
                <w:rFonts w:hint="eastAsia" w:ascii="楷体_GB2312" w:hAnsi="黑体" w:eastAsia="楷体_GB2312" w:cs="仿宋"/>
                <w:color w:val="000000"/>
                <w:szCs w:val="21"/>
              </w:rPr>
              <w:t>（万亩）</w:t>
            </w:r>
          </w:p>
        </w:tc>
        <w:tc>
          <w:tcPr>
            <w:tcW w:w="2250" w:type="dxa"/>
            <w:vAlign w:val="center"/>
          </w:tcPr>
          <w:p>
            <w:pPr>
              <w:spacing w:line="320" w:lineRule="exact"/>
              <w:jc w:val="center"/>
              <w:rPr>
                <w:rFonts w:ascii="楷体_GB2312" w:hAnsi="黑体" w:eastAsia="楷体_GB2312" w:cs="仿宋"/>
                <w:color w:val="000000"/>
                <w:szCs w:val="21"/>
              </w:rPr>
            </w:pPr>
            <w:r>
              <w:rPr>
                <w:rFonts w:hint="eastAsia" w:ascii="楷体_GB2312" w:hAnsi="黑体" w:eastAsia="楷体_GB2312" w:cs="仿宋"/>
                <w:color w:val="000000"/>
                <w:szCs w:val="21"/>
              </w:rPr>
              <w:t>绿色防控平均覆盖率</w:t>
            </w:r>
          </w:p>
          <w:p>
            <w:pPr>
              <w:spacing w:line="320" w:lineRule="exact"/>
              <w:jc w:val="center"/>
              <w:rPr>
                <w:rFonts w:ascii="楷体_GB2312" w:hAnsi="黑体" w:eastAsia="楷体_GB2312" w:cs="仿宋"/>
                <w:color w:val="000000"/>
                <w:szCs w:val="21"/>
              </w:rPr>
            </w:pPr>
            <w:r>
              <w:rPr>
                <w:rFonts w:hint="eastAsia" w:ascii="楷体_GB2312" w:hAnsi="黑体" w:eastAsia="楷体_GB2312" w:cs="仿宋"/>
                <w:color w:val="000000"/>
                <w:szCs w:val="21"/>
              </w:rPr>
              <w:t>（%）</w:t>
            </w:r>
          </w:p>
        </w:tc>
        <w:tc>
          <w:tcPr>
            <w:tcW w:w="856" w:type="dxa"/>
            <w:vAlign w:val="center"/>
          </w:tcPr>
          <w:p>
            <w:pPr>
              <w:spacing w:line="320" w:lineRule="exact"/>
              <w:rPr>
                <w:rFonts w:ascii="楷体_GB2312" w:hAnsi="黑体" w:eastAsia="楷体_GB2312" w:cs="仿宋"/>
                <w:color w:val="000000"/>
                <w:szCs w:val="21"/>
              </w:rPr>
            </w:pPr>
            <w:r>
              <w:rPr>
                <w:rFonts w:hint="eastAsia" w:ascii="楷体_GB2312" w:hAnsi="黑体" w:eastAsia="楷体_GB2312" w:cs="仿宋"/>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352" w:type="dxa"/>
            <w:gridSpan w:val="2"/>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蔬菜作物</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restart"/>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果树作物</w:t>
            </w: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柑橘</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苹果</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梨</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小计</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352" w:type="dxa"/>
            <w:gridSpan w:val="2"/>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茶叶</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restart"/>
            <w:vAlign w:val="center"/>
          </w:tcPr>
          <w:p>
            <w:pPr>
              <w:tabs>
                <w:tab w:val="left" w:pos="389"/>
              </w:tabs>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粮食作物</w:t>
            </w: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水稻</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玉米</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小麦</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小计</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restart"/>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油料作物</w:t>
            </w: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油菜</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向日葵</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400" w:type="dxa"/>
            <w:vMerge w:val="continue"/>
            <w:vAlign w:val="center"/>
          </w:tcPr>
          <w:p>
            <w:pPr>
              <w:spacing w:line="600" w:lineRule="exact"/>
              <w:rPr>
                <w:rFonts w:ascii="楷体_GB2312" w:hAnsi="黑体" w:eastAsia="楷体_GB2312" w:cs="仿宋"/>
                <w:color w:val="000000"/>
                <w:szCs w:val="21"/>
              </w:rPr>
            </w:pPr>
          </w:p>
        </w:tc>
        <w:tc>
          <w:tcPr>
            <w:tcW w:w="952" w:type="dxa"/>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小计</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352" w:type="dxa"/>
            <w:gridSpan w:val="2"/>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糖料作物</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352" w:type="dxa"/>
            <w:gridSpan w:val="2"/>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棉花</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352" w:type="dxa"/>
            <w:gridSpan w:val="2"/>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中药材</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352" w:type="dxa"/>
            <w:gridSpan w:val="2"/>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其他作物</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352" w:type="dxa"/>
            <w:gridSpan w:val="2"/>
            <w:vAlign w:val="center"/>
          </w:tcPr>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合计</w:t>
            </w:r>
          </w:p>
        </w:tc>
        <w:tc>
          <w:tcPr>
            <w:tcW w:w="1639" w:type="dxa"/>
            <w:vAlign w:val="center"/>
          </w:tcPr>
          <w:p>
            <w:pPr>
              <w:spacing w:line="600" w:lineRule="exact"/>
              <w:rPr>
                <w:rFonts w:ascii="楷体_GB2312" w:hAnsi="黑体" w:eastAsia="楷体_GB2312" w:cs="仿宋"/>
                <w:color w:val="000000"/>
                <w:szCs w:val="21"/>
              </w:rPr>
            </w:pPr>
          </w:p>
        </w:tc>
        <w:tc>
          <w:tcPr>
            <w:tcW w:w="2062" w:type="dxa"/>
            <w:vAlign w:val="center"/>
          </w:tcPr>
          <w:p>
            <w:pPr>
              <w:spacing w:line="600" w:lineRule="exact"/>
              <w:rPr>
                <w:rFonts w:ascii="楷体_GB2312" w:hAnsi="黑体" w:eastAsia="楷体_GB2312" w:cs="仿宋"/>
                <w:color w:val="000000"/>
                <w:szCs w:val="21"/>
              </w:rPr>
            </w:pPr>
          </w:p>
        </w:tc>
        <w:tc>
          <w:tcPr>
            <w:tcW w:w="2250" w:type="dxa"/>
            <w:vAlign w:val="center"/>
          </w:tcPr>
          <w:p>
            <w:pPr>
              <w:spacing w:line="600" w:lineRule="exact"/>
              <w:rPr>
                <w:rFonts w:ascii="楷体_GB2312" w:hAnsi="黑体" w:eastAsia="楷体_GB2312" w:cs="仿宋"/>
                <w:color w:val="000000"/>
                <w:szCs w:val="21"/>
              </w:rPr>
            </w:pPr>
          </w:p>
        </w:tc>
        <w:tc>
          <w:tcPr>
            <w:tcW w:w="856" w:type="dxa"/>
            <w:vAlign w:val="center"/>
          </w:tcPr>
          <w:p>
            <w:pPr>
              <w:spacing w:line="600" w:lineRule="exact"/>
              <w:rPr>
                <w:rFonts w:ascii="楷体_GB2312" w:hAnsi="黑体" w:eastAsia="楷体_GB2312" w:cs="仿宋"/>
                <w:color w:val="000000"/>
                <w:szCs w:val="21"/>
              </w:rPr>
            </w:pPr>
          </w:p>
        </w:tc>
      </w:tr>
    </w:tbl>
    <w:p>
      <w:pPr>
        <w:spacing w:line="600" w:lineRule="exact"/>
        <w:rPr>
          <w:rFonts w:ascii="楷体_GB2312" w:hAnsi="黑体" w:eastAsia="楷体_GB2312" w:cs="仿宋"/>
          <w:color w:val="000000"/>
          <w:szCs w:val="21"/>
        </w:rPr>
      </w:pPr>
      <w:r>
        <w:rPr>
          <w:rFonts w:hint="eastAsia" w:ascii="楷体_GB2312" w:hAnsi="黑体" w:eastAsia="楷体_GB2312" w:cs="仿宋"/>
          <w:color w:val="000000"/>
          <w:szCs w:val="21"/>
        </w:rPr>
        <w:t>注：各地根据具体实施绿色防控的作物种类进行填报。</w:t>
      </w:r>
    </w:p>
    <w:p>
      <w:pPr>
        <w:rPr>
          <w:rFonts w:ascii="Times New Roman" w:hAnsi="Times New Roman" w:eastAsia="黑体"/>
          <w:color w:val="000000"/>
          <w:kern w:val="0"/>
          <w:sz w:val="32"/>
          <w:szCs w:val="28"/>
        </w:rPr>
      </w:pPr>
      <w:r>
        <w:rPr>
          <w:rFonts w:hint="eastAsia" w:ascii="Times New Roman" w:hAnsi="Times New Roman" w:eastAsia="黑体"/>
          <w:color w:val="000000"/>
          <w:kern w:val="0"/>
          <w:sz w:val="32"/>
          <w:szCs w:val="28"/>
        </w:rPr>
        <w:t>附表</w:t>
      </w:r>
      <w:r>
        <w:rPr>
          <w:rFonts w:ascii="Times New Roman" w:hAnsi="Times New Roman" w:eastAsia="黑体"/>
          <w:color w:val="000000"/>
          <w:kern w:val="0"/>
          <w:sz w:val="32"/>
          <w:szCs w:val="28"/>
        </w:rPr>
        <w:t>3</w:t>
      </w:r>
    </w:p>
    <w:p>
      <w:pPr>
        <w:jc w:val="center"/>
        <w:rPr>
          <w:rFonts w:ascii="小标宋" w:hAnsi="黑体" w:eastAsia="小标宋" w:cs="Arial"/>
          <w:kern w:val="0"/>
          <w:sz w:val="32"/>
          <w:szCs w:val="28"/>
        </w:rPr>
      </w:pPr>
      <w:r>
        <w:rPr>
          <w:rFonts w:hint="eastAsia" w:ascii="小标宋" w:hAnsi="黑体" w:eastAsia="小标宋" w:cs="Arial"/>
          <w:kern w:val="0"/>
          <w:sz w:val="32"/>
          <w:szCs w:val="28"/>
        </w:rPr>
        <w:t>绿色防控示范基地病虫害管理档案</w:t>
      </w:r>
    </w:p>
    <w:tbl>
      <w:tblPr>
        <w:tblStyle w:val="2"/>
        <w:tblW w:w="9323" w:type="dxa"/>
        <w:tblInd w:w="0" w:type="dxa"/>
        <w:tblLayout w:type="autofit"/>
        <w:tblCellMar>
          <w:top w:w="0" w:type="dxa"/>
          <w:left w:w="108" w:type="dxa"/>
          <w:bottom w:w="0" w:type="dxa"/>
          <w:right w:w="108" w:type="dxa"/>
        </w:tblCellMar>
      </w:tblPr>
      <w:tblGrid>
        <w:gridCol w:w="817"/>
        <w:gridCol w:w="1276"/>
        <w:gridCol w:w="1276"/>
        <w:gridCol w:w="1134"/>
        <w:gridCol w:w="283"/>
        <w:gridCol w:w="1276"/>
        <w:gridCol w:w="992"/>
        <w:gridCol w:w="142"/>
        <w:gridCol w:w="542"/>
        <w:gridCol w:w="2169"/>
      </w:tblGrid>
      <w:tr>
        <w:tblPrEx>
          <w:tblCellMar>
            <w:top w:w="0" w:type="dxa"/>
            <w:left w:w="108" w:type="dxa"/>
            <w:bottom w:w="0" w:type="dxa"/>
            <w:right w:w="108" w:type="dxa"/>
          </w:tblCellMar>
        </w:tblPrEx>
        <w:trPr>
          <w:trHeight w:val="225" w:hRule="atLeast"/>
        </w:trPr>
        <w:tc>
          <w:tcPr>
            <w:tcW w:w="2093" w:type="dxa"/>
            <w:gridSpan w:val="2"/>
            <w:tcBorders>
              <w:top w:val="single" w:color="auto" w:sz="4" w:space="0"/>
              <w:left w:val="single" w:color="auto" w:sz="4" w:space="0"/>
              <w:bottom w:val="single" w:color="auto" w:sz="4" w:space="0"/>
              <w:right w:val="single" w:color="auto" w:sz="4" w:space="0"/>
            </w:tcBorders>
            <w:noWrap/>
            <w:vAlign w:val="center"/>
          </w:tcPr>
          <w:p>
            <w:pPr>
              <w:widowControl/>
              <w:rPr>
                <w:rFonts w:ascii="楷体_GB2312" w:hAnsi="Times New Roman" w:eastAsia="楷体_GB2312"/>
                <w:color w:val="000000"/>
                <w:kern w:val="0"/>
                <w:szCs w:val="16"/>
              </w:rPr>
            </w:pPr>
            <w:r>
              <w:rPr>
                <w:rFonts w:hint="eastAsia" w:ascii="楷体_GB2312" w:hAnsi="Times New Roman" w:eastAsia="楷体_GB2312"/>
                <w:color w:val="000000"/>
                <w:kern w:val="0"/>
                <w:szCs w:val="16"/>
              </w:rPr>
              <w:t>基地名称</w:t>
            </w:r>
          </w:p>
        </w:tc>
        <w:tc>
          <w:tcPr>
            <w:tcW w:w="1276" w:type="dxa"/>
            <w:tcBorders>
              <w:top w:val="single" w:color="auto" w:sz="4" w:space="0"/>
              <w:left w:val="nil"/>
              <w:bottom w:val="single" w:color="auto" w:sz="4" w:space="0"/>
              <w:right w:val="single" w:color="000000" w:sz="4" w:space="0"/>
            </w:tcBorders>
            <w:noWrap/>
            <w:vAlign w:val="center"/>
          </w:tcPr>
          <w:p>
            <w:pPr>
              <w:widowControl/>
              <w:rPr>
                <w:rFonts w:ascii="楷体_GB2312" w:hAnsi="Times New Roman" w:eastAsia="楷体_GB2312"/>
                <w:color w:val="000000"/>
                <w:kern w:val="0"/>
                <w:sz w:val="16"/>
                <w:szCs w:val="16"/>
              </w:rPr>
            </w:pPr>
          </w:p>
        </w:tc>
        <w:tc>
          <w:tcPr>
            <w:tcW w:w="1417" w:type="dxa"/>
            <w:gridSpan w:val="2"/>
            <w:tcBorders>
              <w:top w:val="single" w:color="auto" w:sz="4" w:space="0"/>
              <w:left w:val="nil"/>
              <w:bottom w:val="single" w:color="auto" w:sz="4" w:space="0"/>
              <w:right w:val="single" w:color="auto" w:sz="4" w:space="0"/>
            </w:tcBorders>
            <w:noWrap/>
            <w:vAlign w:val="center"/>
          </w:tcPr>
          <w:p>
            <w:pPr>
              <w:widowControl/>
              <w:rPr>
                <w:rFonts w:ascii="楷体_GB2312" w:hAnsi="Times New Roman" w:eastAsia="楷体_GB2312"/>
                <w:color w:val="000000"/>
                <w:kern w:val="0"/>
                <w:szCs w:val="21"/>
              </w:rPr>
            </w:pPr>
            <w:r>
              <w:rPr>
                <w:rFonts w:hint="eastAsia" w:ascii="楷体_GB2312" w:hAnsi="Times New Roman" w:eastAsia="楷体_GB2312"/>
                <w:color w:val="000000"/>
                <w:kern w:val="0"/>
                <w:szCs w:val="21"/>
              </w:rPr>
              <w:t>联系电话</w:t>
            </w:r>
          </w:p>
        </w:tc>
        <w:tc>
          <w:tcPr>
            <w:tcW w:w="1276" w:type="dxa"/>
            <w:tcBorders>
              <w:top w:val="single" w:color="auto" w:sz="4" w:space="0"/>
              <w:left w:val="nil"/>
              <w:bottom w:val="single" w:color="auto" w:sz="4" w:space="0"/>
              <w:right w:val="single" w:color="auto" w:sz="4" w:space="0"/>
            </w:tcBorders>
            <w:noWrap/>
            <w:vAlign w:val="center"/>
          </w:tcPr>
          <w:p>
            <w:pPr>
              <w:widowControl/>
              <w:rPr>
                <w:rFonts w:ascii="楷体_GB2312" w:hAnsi="Times New Roman" w:eastAsia="楷体_GB2312"/>
                <w:color w:val="000000"/>
                <w:kern w:val="0"/>
                <w:sz w:val="16"/>
                <w:szCs w:val="16"/>
              </w:rPr>
            </w:pPr>
          </w:p>
        </w:tc>
        <w:tc>
          <w:tcPr>
            <w:tcW w:w="1134" w:type="dxa"/>
            <w:gridSpan w:val="2"/>
            <w:tcBorders>
              <w:top w:val="single" w:color="auto" w:sz="4" w:space="0"/>
              <w:left w:val="nil"/>
              <w:bottom w:val="single" w:color="auto" w:sz="4" w:space="0"/>
              <w:right w:val="single" w:color="auto" w:sz="4" w:space="0"/>
            </w:tcBorders>
            <w:noWrap/>
            <w:vAlign w:val="center"/>
          </w:tcPr>
          <w:p>
            <w:pPr>
              <w:widowControl/>
              <w:rPr>
                <w:rFonts w:ascii="楷体_GB2312" w:hAnsi="Times New Roman" w:eastAsia="楷体_GB2312"/>
                <w:color w:val="000000"/>
                <w:kern w:val="0"/>
                <w:szCs w:val="16"/>
              </w:rPr>
            </w:pPr>
            <w:r>
              <w:rPr>
                <w:rFonts w:hint="eastAsia" w:ascii="楷体_GB2312" w:hAnsi="Times New Roman" w:eastAsia="楷体_GB2312"/>
                <w:color w:val="000000"/>
                <w:kern w:val="0"/>
                <w:szCs w:val="16"/>
              </w:rPr>
              <w:t>地址</w:t>
            </w:r>
          </w:p>
        </w:tc>
        <w:tc>
          <w:tcPr>
            <w:tcW w:w="2127" w:type="dxa"/>
            <w:gridSpan w:val="2"/>
            <w:tcBorders>
              <w:top w:val="single" w:color="auto" w:sz="4" w:space="0"/>
              <w:left w:val="nil"/>
              <w:bottom w:val="single" w:color="auto" w:sz="4" w:space="0"/>
              <w:right w:val="single" w:color="auto" w:sz="4" w:space="0"/>
            </w:tcBorders>
            <w:noWrap/>
            <w:vAlign w:val="center"/>
          </w:tcPr>
          <w:p>
            <w:pPr>
              <w:widowControl/>
              <w:rPr>
                <w:rFonts w:ascii="楷体_GB2312" w:hAnsi="Times New Roman" w:eastAsia="楷体_GB2312"/>
                <w:color w:val="000000"/>
                <w:kern w:val="0"/>
                <w:szCs w:val="21"/>
              </w:rPr>
            </w:pPr>
            <w:r>
              <w:rPr>
                <w:rFonts w:hint="eastAsia" w:ascii="楷体_GB2312" w:hAnsi="Times New Roman" w:eastAsia="楷体_GB2312"/>
                <w:color w:val="000000"/>
                <w:kern w:val="0"/>
                <w:szCs w:val="21"/>
              </w:rPr>
              <w:t>省（市）县（区）乡（镇）村</w:t>
            </w:r>
          </w:p>
        </w:tc>
      </w:tr>
      <w:tr>
        <w:tblPrEx>
          <w:tblCellMar>
            <w:top w:w="0" w:type="dxa"/>
            <w:left w:w="108" w:type="dxa"/>
            <w:bottom w:w="0" w:type="dxa"/>
            <w:right w:w="108" w:type="dxa"/>
          </w:tblCellMar>
        </w:tblPrEx>
        <w:trPr>
          <w:trHeight w:val="210" w:hRule="atLeast"/>
        </w:trPr>
        <w:tc>
          <w:tcPr>
            <w:tcW w:w="2093" w:type="dxa"/>
            <w:gridSpan w:val="2"/>
            <w:tcBorders>
              <w:top w:val="nil"/>
              <w:left w:val="single" w:color="auto" w:sz="4" w:space="0"/>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20"/>
                <w:szCs w:val="18"/>
              </w:rPr>
            </w:pPr>
            <w:r>
              <w:rPr>
                <w:rFonts w:hint="eastAsia" w:ascii="楷体_GB2312" w:hAnsi="Times New Roman" w:eastAsia="楷体_GB2312"/>
                <w:color w:val="000000"/>
                <w:kern w:val="0"/>
                <w:sz w:val="20"/>
                <w:szCs w:val="18"/>
              </w:rPr>
              <w:t>作物名称</w:t>
            </w:r>
          </w:p>
        </w:tc>
        <w:tc>
          <w:tcPr>
            <w:tcW w:w="3969" w:type="dxa"/>
            <w:gridSpan w:val="4"/>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Cs w:val="16"/>
              </w:rPr>
            </w:pPr>
          </w:p>
        </w:tc>
        <w:tc>
          <w:tcPr>
            <w:tcW w:w="1134" w:type="dxa"/>
            <w:gridSpan w:val="2"/>
            <w:tcBorders>
              <w:top w:val="nil"/>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r>
              <w:rPr>
                <w:rFonts w:hint="eastAsia" w:ascii="楷体_GB2312" w:hAnsi="Times New Roman" w:eastAsia="楷体_GB2312"/>
                <w:color w:val="000000"/>
                <w:kern w:val="0"/>
                <w:szCs w:val="16"/>
              </w:rPr>
              <w:t>种植面积</w:t>
            </w:r>
          </w:p>
        </w:tc>
        <w:tc>
          <w:tcPr>
            <w:tcW w:w="2127" w:type="dxa"/>
            <w:gridSpan w:val="2"/>
            <w:tcBorders>
              <w:top w:val="nil"/>
              <w:left w:val="nil"/>
              <w:bottom w:val="single" w:color="auto" w:sz="4" w:space="0"/>
              <w:right w:val="single" w:color="auto" w:sz="4" w:space="0"/>
            </w:tcBorders>
            <w:noWrap/>
            <w:vAlign w:val="bottom"/>
          </w:tcPr>
          <w:p>
            <w:pPr>
              <w:widowControl/>
              <w:spacing w:line="400" w:lineRule="exact"/>
              <w:ind w:right="320" w:firstLine="1710" w:firstLineChars="950"/>
              <w:rPr>
                <w:rFonts w:ascii="楷体_GB2312" w:hAnsi="Times New Roman" w:eastAsia="楷体_GB2312"/>
                <w:color w:val="000000"/>
                <w:kern w:val="0"/>
                <w:sz w:val="16"/>
                <w:szCs w:val="16"/>
              </w:rPr>
            </w:pPr>
            <w:r>
              <w:rPr>
                <w:rFonts w:hint="eastAsia" w:ascii="楷体_GB2312" w:hAnsi="Times New Roman" w:eastAsia="楷体_GB2312"/>
                <w:color w:val="000000"/>
                <w:kern w:val="0"/>
                <w:sz w:val="18"/>
                <w:szCs w:val="16"/>
              </w:rPr>
              <w:t>亩</w:t>
            </w:r>
          </w:p>
        </w:tc>
      </w:tr>
      <w:tr>
        <w:tblPrEx>
          <w:tblCellMar>
            <w:top w:w="0" w:type="dxa"/>
            <w:left w:w="108" w:type="dxa"/>
            <w:bottom w:w="0" w:type="dxa"/>
            <w:right w:w="108" w:type="dxa"/>
          </w:tblCellMar>
        </w:tblPrEx>
        <w:trPr>
          <w:trHeight w:val="210" w:hRule="atLeast"/>
        </w:trPr>
        <w:tc>
          <w:tcPr>
            <w:tcW w:w="2093" w:type="dxa"/>
            <w:gridSpan w:val="2"/>
            <w:tcBorders>
              <w:top w:val="nil"/>
              <w:left w:val="single" w:color="auto" w:sz="4" w:space="0"/>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8"/>
              </w:rPr>
            </w:pPr>
            <w:r>
              <w:rPr>
                <w:rFonts w:hint="eastAsia" w:ascii="楷体_GB2312" w:hAnsi="Times New Roman" w:eastAsia="楷体_GB2312"/>
                <w:color w:val="000000"/>
                <w:kern w:val="0"/>
                <w:sz w:val="18"/>
                <w:szCs w:val="18"/>
              </w:rPr>
              <w:t>主要病害</w:t>
            </w:r>
          </w:p>
        </w:tc>
        <w:tc>
          <w:tcPr>
            <w:tcW w:w="7230" w:type="dxa"/>
            <w:gridSpan w:val="8"/>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r>
              <w:rPr>
                <w:rFonts w:hint="eastAsia" w:ascii="楷体_GB2312" w:hAnsi="Times New Roman" w:eastAsia="楷体_GB2312"/>
                <w:color w:val="000000"/>
                <w:kern w:val="0"/>
                <w:sz w:val="16"/>
                <w:szCs w:val="16"/>
              </w:rPr>
              <w:t xml:space="preserve">1.                 2.               3.               4.          …….                                  </w:t>
            </w:r>
          </w:p>
        </w:tc>
      </w:tr>
      <w:tr>
        <w:tblPrEx>
          <w:tblCellMar>
            <w:top w:w="0" w:type="dxa"/>
            <w:left w:w="108" w:type="dxa"/>
            <w:bottom w:w="0" w:type="dxa"/>
            <w:right w:w="108" w:type="dxa"/>
          </w:tblCellMar>
        </w:tblPrEx>
        <w:trPr>
          <w:trHeight w:val="210" w:hRule="atLeast"/>
        </w:trPr>
        <w:tc>
          <w:tcPr>
            <w:tcW w:w="2093" w:type="dxa"/>
            <w:gridSpan w:val="2"/>
            <w:tcBorders>
              <w:top w:val="nil"/>
              <w:left w:val="single" w:color="auto" w:sz="4" w:space="0"/>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8"/>
              </w:rPr>
            </w:pPr>
            <w:r>
              <w:rPr>
                <w:rFonts w:hint="eastAsia" w:ascii="楷体_GB2312" w:hAnsi="Times New Roman" w:eastAsia="楷体_GB2312"/>
                <w:color w:val="000000"/>
                <w:kern w:val="0"/>
                <w:sz w:val="18"/>
                <w:szCs w:val="18"/>
              </w:rPr>
              <w:t>主要虫害</w:t>
            </w:r>
          </w:p>
        </w:tc>
        <w:tc>
          <w:tcPr>
            <w:tcW w:w="7230" w:type="dxa"/>
            <w:gridSpan w:val="8"/>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r>
              <w:rPr>
                <w:rFonts w:hint="eastAsia" w:ascii="楷体_GB2312" w:hAnsi="Times New Roman" w:eastAsia="楷体_GB2312"/>
                <w:color w:val="000000"/>
                <w:kern w:val="0"/>
                <w:sz w:val="16"/>
                <w:szCs w:val="16"/>
              </w:rPr>
              <w:t xml:space="preserve">1.                 2.               3.               4.          …….                                            </w:t>
            </w:r>
          </w:p>
        </w:tc>
      </w:tr>
      <w:tr>
        <w:tblPrEx>
          <w:tblCellMar>
            <w:top w:w="0" w:type="dxa"/>
            <w:left w:w="108" w:type="dxa"/>
            <w:bottom w:w="0" w:type="dxa"/>
            <w:right w:w="108" w:type="dxa"/>
          </w:tblCellMar>
        </w:tblPrEx>
        <w:trPr>
          <w:trHeight w:val="210" w:hRule="atLeast"/>
        </w:trPr>
        <w:tc>
          <w:tcPr>
            <w:tcW w:w="817" w:type="dxa"/>
            <w:vMerge w:val="restart"/>
            <w:tcBorders>
              <w:top w:val="nil"/>
              <w:left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非药剂防治措施</w:t>
            </w:r>
          </w:p>
        </w:tc>
        <w:tc>
          <w:tcPr>
            <w:tcW w:w="1276" w:type="dxa"/>
            <w:tcBorders>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使用时间</w:t>
            </w:r>
          </w:p>
        </w:tc>
        <w:tc>
          <w:tcPr>
            <w:tcW w:w="2410" w:type="dxa"/>
            <w:gridSpan w:val="2"/>
            <w:tcBorders>
              <w:top w:val="single" w:color="auto" w:sz="4" w:space="0"/>
              <w:left w:val="nil"/>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8"/>
              </w:rPr>
            </w:pPr>
            <w:r>
              <w:rPr>
                <w:rFonts w:hint="eastAsia" w:ascii="楷体_GB2312" w:hAnsi="Times New Roman" w:eastAsia="楷体_GB2312"/>
                <w:color w:val="000000"/>
                <w:kern w:val="0"/>
                <w:szCs w:val="21"/>
              </w:rPr>
              <w:t>防治对象</w:t>
            </w:r>
          </w:p>
        </w:tc>
        <w:tc>
          <w:tcPr>
            <w:tcW w:w="2551"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措施名称</w:t>
            </w:r>
          </w:p>
        </w:tc>
        <w:tc>
          <w:tcPr>
            <w:tcW w:w="2269"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应用面积（亩）</w:t>
            </w:r>
          </w:p>
        </w:tc>
      </w:tr>
      <w:tr>
        <w:tblPrEx>
          <w:tblCellMar>
            <w:top w:w="0" w:type="dxa"/>
            <w:left w:w="108" w:type="dxa"/>
            <w:bottom w:w="0" w:type="dxa"/>
            <w:right w:w="108" w:type="dxa"/>
          </w:tblCellMar>
        </w:tblPrEx>
        <w:trPr>
          <w:trHeight w:val="210" w:hRule="atLeast"/>
        </w:trPr>
        <w:tc>
          <w:tcPr>
            <w:tcW w:w="817" w:type="dxa"/>
            <w:vMerge w:val="continue"/>
            <w:tcBorders>
              <w:left w:val="single" w:color="auto" w:sz="4" w:space="0"/>
              <w:right w:val="single" w:color="auto" w:sz="4" w:space="0"/>
            </w:tcBorders>
            <w:noWrap/>
            <w:vAlign w:val="bottom"/>
          </w:tcPr>
          <w:p>
            <w:pPr>
              <w:spacing w:line="400" w:lineRule="exact"/>
              <w:rPr>
                <w:rFonts w:ascii="楷体_GB2312" w:hAnsi="Times New Roman" w:eastAsia="楷体_GB2312"/>
                <w:color w:val="000000"/>
                <w:kern w:val="0"/>
                <w:sz w:val="16"/>
                <w:szCs w:val="16"/>
              </w:rPr>
            </w:pPr>
          </w:p>
        </w:tc>
        <w:tc>
          <w:tcPr>
            <w:tcW w:w="1276" w:type="dxa"/>
            <w:tcBorders>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8"/>
                <w:szCs w:val="16"/>
              </w:rPr>
            </w:pPr>
          </w:p>
        </w:tc>
        <w:tc>
          <w:tcPr>
            <w:tcW w:w="2410" w:type="dxa"/>
            <w:gridSpan w:val="2"/>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8"/>
                <w:szCs w:val="18"/>
              </w:rPr>
            </w:pPr>
          </w:p>
        </w:tc>
        <w:tc>
          <w:tcPr>
            <w:tcW w:w="2551"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8"/>
                <w:szCs w:val="18"/>
              </w:rPr>
            </w:pPr>
          </w:p>
        </w:tc>
        <w:tc>
          <w:tcPr>
            <w:tcW w:w="2269"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8"/>
                <w:szCs w:val="18"/>
              </w:rPr>
            </w:pPr>
          </w:p>
        </w:tc>
      </w:tr>
      <w:tr>
        <w:tblPrEx>
          <w:tblCellMar>
            <w:top w:w="0" w:type="dxa"/>
            <w:left w:w="108" w:type="dxa"/>
            <w:bottom w:w="0" w:type="dxa"/>
            <w:right w:w="108" w:type="dxa"/>
          </w:tblCellMar>
        </w:tblPrEx>
        <w:trPr>
          <w:trHeight w:val="270" w:hRule="atLeast"/>
        </w:trPr>
        <w:tc>
          <w:tcPr>
            <w:tcW w:w="817" w:type="dxa"/>
            <w:vMerge w:val="continue"/>
            <w:tcBorders>
              <w:left w:val="single" w:color="auto" w:sz="4" w:space="0"/>
              <w:right w:val="single" w:color="auto" w:sz="4" w:space="0"/>
            </w:tcBorders>
            <w:noWrap/>
            <w:vAlign w:val="bottom"/>
          </w:tcPr>
          <w:p>
            <w:pPr>
              <w:spacing w:line="400" w:lineRule="exact"/>
              <w:rPr>
                <w:rFonts w:ascii="楷体_GB2312" w:hAnsi="Times New Roman" w:eastAsia="楷体_GB2312"/>
                <w:color w:val="000000"/>
                <w:kern w:val="0"/>
                <w:sz w:val="16"/>
                <w:szCs w:val="16"/>
              </w:rPr>
            </w:pPr>
          </w:p>
        </w:tc>
        <w:tc>
          <w:tcPr>
            <w:tcW w:w="1276" w:type="dxa"/>
            <w:tcBorders>
              <w:top w:val="nil"/>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8"/>
                <w:szCs w:val="16"/>
              </w:rPr>
            </w:pPr>
          </w:p>
        </w:tc>
        <w:tc>
          <w:tcPr>
            <w:tcW w:w="2410" w:type="dxa"/>
            <w:gridSpan w:val="2"/>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8"/>
                <w:szCs w:val="18"/>
              </w:rPr>
            </w:pPr>
          </w:p>
        </w:tc>
        <w:tc>
          <w:tcPr>
            <w:tcW w:w="2551"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8"/>
                <w:szCs w:val="18"/>
              </w:rPr>
            </w:pPr>
          </w:p>
        </w:tc>
        <w:tc>
          <w:tcPr>
            <w:tcW w:w="2269"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8"/>
                <w:szCs w:val="18"/>
              </w:rPr>
            </w:pPr>
          </w:p>
        </w:tc>
      </w:tr>
      <w:tr>
        <w:tblPrEx>
          <w:tblCellMar>
            <w:top w:w="0" w:type="dxa"/>
            <w:left w:w="108" w:type="dxa"/>
            <w:bottom w:w="0" w:type="dxa"/>
            <w:right w:w="108" w:type="dxa"/>
          </w:tblCellMar>
        </w:tblPrEx>
        <w:trPr>
          <w:trHeight w:val="210" w:hRule="atLeast"/>
        </w:trPr>
        <w:tc>
          <w:tcPr>
            <w:tcW w:w="817" w:type="dxa"/>
            <w:vMerge w:val="continue"/>
            <w:tcBorders>
              <w:left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6"/>
              </w:rPr>
            </w:pPr>
          </w:p>
        </w:tc>
        <w:tc>
          <w:tcPr>
            <w:tcW w:w="2410" w:type="dxa"/>
            <w:gridSpan w:val="2"/>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2551"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c>
          <w:tcPr>
            <w:tcW w:w="2269"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r>
      <w:tr>
        <w:tblPrEx>
          <w:tblCellMar>
            <w:top w:w="0" w:type="dxa"/>
            <w:left w:w="108" w:type="dxa"/>
            <w:bottom w:w="0" w:type="dxa"/>
            <w:right w:w="108" w:type="dxa"/>
          </w:tblCellMar>
        </w:tblPrEx>
        <w:trPr>
          <w:trHeight w:val="210" w:hRule="atLeast"/>
        </w:trPr>
        <w:tc>
          <w:tcPr>
            <w:tcW w:w="817" w:type="dxa"/>
            <w:vMerge w:val="continue"/>
            <w:tcBorders>
              <w:left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6"/>
              </w:rPr>
            </w:pPr>
          </w:p>
        </w:tc>
        <w:tc>
          <w:tcPr>
            <w:tcW w:w="2410" w:type="dxa"/>
            <w:gridSpan w:val="2"/>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2551"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c>
          <w:tcPr>
            <w:tcW w:w="2269"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r>
      <w:tr>
        <w:tblPrEx>
          <w:tblCellMar>
            <w:top w:w="0" w:type="dxa"/>
            <w:left w:w="108" w:type="dxa"/>
            <w:bottom w:w="0" w:type="dxa"/>
            <w:right w:w="108" w:type="dxa"/>
          </w:tblCellMar>
        </w:tblPrEx>
        <w:trPr>
          <w:trHeight w:val="210" w:hRule="atLeast"/>
        </w:trPr>
        <w:tc>
          <w:tcPr>
            <w:tcW w:w="817" w:type="dxa"/>
            <w:vMerge w:val="continue"/>
            <w:tcBorders>
              <w:left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6"/>
              </w:rPr>
            </w:pPr>
          </w:p>
        </w:tc>
        <w:tc>
          <w:tcPr>
            <w:tcW w:w="2410" w:type="dxa"/>
            <w:gridSpan w:val="2"/>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2551"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c>
          <w:tcPr>
            <w:tcW w:w="2269"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r>
      <w:tr>
        <w:tblPrEx>
          <w:tblCellMar>
            <w:top w:w="0" w:type="dxa"/>
            <w:left w:w="108" w:type="dxa"/>
            <w:bottom w:w="0" w:type="dxa"/>
            <w:right w:w="108" w:type="dxa"/>
          </w:tblCellMar>
        </w:tblPrEx>
        <w:trPr>
          <w:trHeight w:val="210" w:hRule="atLeast"/>
        </w:trPr>
        <w:tc>
          <w:tcPr>
            <w:tcW w:w="817" w:type="dxa"/>
            <w:vMerge w:val="continue"/>
            <w:tcBorders>
              <w:left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6"/>
              </w:rPr>
            </w:pPr>
          </w:p>
        </w:tc>
        <w:tc>
          <w:tcPr>
            <w:tcW w:w="2410" w:type="dxa"/>
            <w:gridSpan w:val="2"/>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2551"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c>
          <w:tcPr>
            <w:tcW w:w="2269"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r>
      <w:tr>
        <w:tblPrEx>
          <w:tblCellMar>
            <w:top w:w="0" w:type="dxa"/>
            <w:left w:w="108" w:type="dxa"/>
            <w:bottom w:w="0" w:type="dxa"/>
            <w:right w:w="108" w:type="dxa"/>
          </w:tblCellMar>
        </w:tblPrEx>
        <w:trPr>
          <w:trHeight w:val="210" w:hRule="atLeast"/>
        </w:trPr>
        <w:tc>
          <w:tcPr>
            <w:tcW w:w="817" w:type="dxa"/>
            <w:vMerge w:val="continue"/>
            <w:tcBorders>
              <w:left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6"/>
              </w:rPr>
            </w:pPr>
          </w:p>
        </w:tc>
        <w:tc>
          <w:tcPr>
            <w:tcW w:w="2410" w:type="dxa"/>
            <w:gridSpan w:val="2"/>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2551"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c>
          <w:tcPr>
            <w:tcW w:w="2269"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r>
      <w:tr>
        <w:tblPrEx>
          <w:tblCellMar>
            <w:top w:w="0" w:type="dxa"/>
            <w:left w:w="108" w:type="dxa"/>
            <w:bottom w:w="0" w:type="dxa"/>
            <w:right w:w="108" w:type="dxa"/>
          </w:tblCellMar>
        </w:tblPrEx>
        <w:trPr>
          <w:trHeight w:val="210" w:hRule="atLeast"/>
        </w:trPr>
        <w:tc>
          <w:tcPr>
            <w:tcW w:w="817" w:type="dxa"/>
            <w:vMerge w:val="continue"/>
            <w:tcBorders>
              <w:left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6"/>
              </w:rPr>
            </w:pPr>
          </w:p>
        </w:tc>
        <w:tc>
          <w:tcPr>
            <w:tcW w:w="2410" w:type="dxa"/>
            <w:gridSpan w:val="2"/>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2551"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c>
          <w:tcPr>
            <w:tcW w:w="2269"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r>
      <w:tr>
        <w:tblPrEx>
          <w:tblCellMar>
            <w:top w:w="0" w:type="dxa"/>
            <w:left w:w="108" w:type="dxa"/>
            <w:bottom w:w="0" w:type="dxa"/>
            <w:right w:w="108" w:type="dxa"/>
          </w:tblCellMar>
        </w:tblPrEx>
        <w:trPr>
          <w:trHeight w:val="210" w:hRule="atLeast"/>
        </w:trPr>
        <w:tc>
          <w:tcPr>
            <w:tcW w:w="817" w:type="dxa"/>
            <w:vMerge w:val="continue"/>
            <w:tcBorders>
              <w:left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6"/>
              </w:rPr>
            </w:pPr>
          </w:p>
        </w:tc>
        <w:tc>
          <w:tcPr>
            <w:tcW w:w="2410" w:type="dxa"/>
            <w:gridSpan w:val="2"/>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2551"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c>
          <w:tcPr>
            <w:tcW w:w="2269"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r>
      <w:tr>
        <w:tblPrEx>
          <w:tblCellMar>
            <w:top w:w="0" w:type="dxa"/>
            <w:left w:w="108" w:type="dxa"/>
            <w:bottom w:w="0" w:type="dxa"/>
            <w:right w:w="108" w:type="dxa"/>
          </w:tblCellMar>
        </w:tblPrEx>
        <w:trPr>
          <w:trHeight w:val="210" w:hRule="atLeast"/>
        </w:trPr>
        <w:tc>
          <w:tcPr>
            <w:tcW w:w="817" w:type="dxa"/>
            <w:vMerge w:val="continue"/>
            <w:tcBorders>
              <w:left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400" w:lineRule="exact"/>
              <w:rPr>
                <w:rFonts w:ascii="楷体_GB2312" w:hAnsi="Times New Roman" w:eastAsia="楷体_GB2312"/>
                <w:color w:val="000000"/>
                <w:kern w:val="0"/>
                <w:sz w:val="18"/>
                <w:szCs w:val="16"/>
              </w:rPr>
            </w:pPr>
          </w:p>
        </w:tc>
        <w:tc>
          <w:tcPr>
            <w:tcW w:w="2410" w:type="dxa"/>
            <w:gridSpan w:val="2"/>
            <w:tcBorders>
              <w:top w:val="single" w:color="auto" w:sz="4" w:space="0"/>
              <w:left w:val="nil"/>
              <w:bottom w:val="single" w:color="auto" w:sz="4" w:space="0"/>
              <w:right w:val="single" w:color="auto" w:sz="4" w:space="0"/>
            </w:tcBorders>
            <w:noWrap/>
            <w:vAlign w:val="bottom"/>
          </w:tcPr>
          <w:p>
            <w:pPr>
              <w:widowControl/>
              <w:spacing w:line="400" w:lineRule="exact"/>
              <w:rPr>
                <w:rFonts w:ascii="楷体_GB2312" w:hAnsi="Times New Roman" w:eastAsia="楷体_GB2312"/>
                <w:color w:val="000000"/>
                <w:kern w:val="0"/>
                <w:sz w:val="16"/>
                <w:szCs w:val="16"/>
              </w:rPr>
            </w:pPr>
          </w:p>
        </w:tc>
        <w:tc>
          <w:tcPr>
            <w:tcW w:w="2551"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c>
          <w:tcPr>
            <w:tcW w:w="2269" w:type="dxa"/>
            <w:gridSpan w:val="3"/>
            <w:tcBorders>
              <w:top w:val="single" w:color="auto" w:sz="4" w:space="0"/>
              <w:left w:val="single" w:color="auto" w:sz="4" w:space="0"/>
              <w:bottom w:val="single" w:color="auto" w:sz="4" w:space="0"/>
              <w:right w:val="single" w:color="auto" w:sz="4" w:space="0"/>
            </w:tcBorders>
            <w:vAlign w:val="bottom"/>
          </w:tcPr>
          <w:p>
            <w:pPr>
              <w:widowControl/>
              <w:spacing w:line="400" w:lineRule="exact"/>
              <w:rPr>
                <w:rFonts w:ascii="楷体_GB2312" w:hAnsi="Times New Roman" w:eastAsia="楷体_GB2312"/>
                <w:color w:val="000000"/>
                <w:kern w:val="0"/>
                <w:sz w:val="16"/>
                <w:szCs w:val="16"/>
              </w:rPr>
            </w:pPr>
          </w:p>
        </w:tc>
      </w:tr>
      <w:tr>
        <w:tblPrEx>
          <w:tblCellMar>
            <w:top w:w="0" w:type="dxa"/>
            <w:left w:w="108" w:type="dxa"/>
            <w:bottom w:w="0" w:type="dxa"/>
            <w:right w:w="108" w:type="dxa"/>
          </w:tblCellMar>
        </w:tblPrEx>
        <w:trPr>
          <w:trHeight w:val="420" w:hRule="atLeast"/>
        </w:trPr>
        <w:tc>
          <w:tcPr>
            <w:tcW w:w="817" w:type="dxa"/>
            <w:vMerge w:val="restart"/>
            <w:tcBorders>
              <w:left w:val="single" w:color="auto" w:sz="4" w:space="0"/>
              <w:right w:val="single" w:color="auto" w:sz="4" w:space="0"/>
            </w:tcBorders>
            <w:noWrap/>
            <w:vAlign w:val="center"/>
          </w:tcPr>
          <w:p>
            <w:pPr>
              <w:widowControl/>
              <w:rPr>
                <w:rFonts w:ascii="楷体_GB2312" w:hAnsi="Times New Roman" w:eastAsia="楷体_GB2312"/>
                <w:color w:val="000000"/>
                <w:kern w:val="0"/>
                <w:szCs w:val="21"/>
              </w:rPr>
            </w:pPr>
            <w:r>
              <w:rPr>
                <w:rFonts w:hint="eastAsia" w:ascii="楷体_GB2312" w:hAnsi="Times New Roman" w:eastAsia="楷体_GB2312"/>
                <w:color w:val="000000"/>
                <w:kern w:val="0"/>
                <w:szCs w:val="21"/>
              </w:rPr>
              <w:t>药剂防治措施</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施药时间</w:t>
            </w: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防治对象</w:t>
            </w: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药剂名称</w:t>
            </w: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有效成份</w:t>
            </w:r>
          </w:p>
          <w:p>
            <w:pPr>
              <w:widowControl/>
              <w:spacing w:line="24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含量及剂型</w:t>
            </w: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使用量</w:t>
            </w: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r>
              <w:rPr>
                <w:rFonts w:hint="eastAsia" w:ascii="楷体_GB2312" w:hAnsi="Times New Roman" w:eastAsia="楷体_GB2312"/>
                <w:color w:val="000000"/>
                <w:kern w:val="0"/>
                <w:szCs w:val="21"/>
              </w:rPr>
              <w:t>防治面积（亩）</w:t>
            </w:r>
          </w:p>
        </w:tc>
      </w:tr>
      <w:tr>
        <w:tblPrEx>
          <w:tblCellMar>
            <w:top w:w="0" w:type="dxa"/>
            <w:left w:w="108" w:type="dxa"/>
            <w:bottom w:w="0" w:type="dxa"/>
            <w:right w:w="108" w:type="dxa"/>
          </w:tblCellMar>
        </w:tblPrEx>
        <w:trPr>
          <w:trHeight w:val="420" w:hRule="atLeast"/>
        </w:trPr>
        <w:tc>
          <w:tcPr>
            <w:tcW w:w="817" w:type="dxa"/>
            <w:vMerge w:val="continue"/>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vMerge w:val="continue"/>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vMerge w:val="continue"/>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vMerge w:val="continue"/>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vMerge w:val="continue"/>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vMerge w:val="continue"/>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vMerge w:val="continue"/>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vMerge w:val="continue"/>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tcBorders>
              <w:left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r>
        <w:tblPrEx>
          <w:tblCellMar>
            <w:top w:w="0" w:type="dxa"/>
            <w:left w:w="108" w:type="dxa"/>
            <w:bottom w:w="0" w:type="dxa"/>
            <w:right w:w="108" w:type="dxa"/>
          </w:tblCellMar>
        </w:tblPrEx>
        <w:trPr>
          <w:trHeight w:val="420" w:hRule="atLeast"/>
        </w:trPr>
        <w:tc>
          <w:tcPr>
            <w:tcW w:w="817" w:type="dxa"/>
            <w:tcBorders>
              <w:left w:val="single" w:color="auto" w:sz="4" w:space="0"/>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楷体_GB2312" w:hAnsi="Times New Roman" w:eastAsia="楷体_GB2312"/>
                <w:color w:val="000000"/>
                <w:kern w:val="0"/>
                <w:sz w:val="16"/>
                <w:szCs w:val="16"/>
              </w:rPr>
            </w:pPr>
          </w:p>
        </w:tc>
        <w:tc>
          <w:tcPr>
            <w:tcW w:w="1276"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134"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2"/>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559" w:type="dxa"/>
            <w:gridSpan w:val="3"/>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c>
          <w:tcPr>
            <w:tcW w:w="1702" w:type="dxa"/>
            <w:tcBorders>
              <w:top w:val="single" w:color="auto" w:sz="4" w:space="0"/>
              <w:left w:val="nil"/>
              <w:bottom w:val="single" w:color="auto" w:sz="4" w:space="0"/>
              <w:right w:val="single" w:color="auto" w:sz="4" w:space="0"/>
            </w:tcBorders>
            <w:noWrap/>
            <w:vAlign w:val="center"/>
          </w:tcPr>
          <w:p>
            <w:pPr>
              <w:widowControl/>
              <w:spacing w:line="240" w:lineRule="exact"/>
              <w:rPr>
                <w:rFonts w:ascii="楷体_GB2312" w:hAnsi="Times New Roman" w:eastAsia="楷体_GB2312"/>
                <w:color w:val="000000"/>
                <w:kern w:val="0"/>
                <w:szCs w:val="21"/>
              </w:rPr>
            </w:pPr>
          </w:p>
        </w:tc>
      </w:tr>
    </w:tbl>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ODQ3ODhhNjNlYjA4NGIyNGJmMGMxZTk1NGY3NjcifQ=="/>
  </w:docVars>
  <w:rsids>
    <w:rsidRoot w:val="00000000"/>
    <w:rsid w:val="4CC24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2022-10-17T07:11:02Z</dcterms:created>
  <dc:creator>Lenovo</dc:creator>
  <cp:lastModifiedBy>蕙</cp:lastModifiedBy>
  <dcterms:modified xsi:type="dcterms:W3CDTF">2022-10-17T07:12:09Z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7E4C3780371E42DB898D41C229A28B61</vt:lpwstr>
  </property>
</Properties>
</file>