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Style w:val="7"/>
          <w:b w:val="0"/>
          <w:bCs w:val="0"/>
        </w:rPr>
      </w:pPr>
      <w:r>
        <w:rPr>
          <w:rStyle w:val="7"/>
          <w:b w:val="0"/>
          <w:bCs w:val="0"/>
        </w:rPr>
        <w:t>附件2</w:t>
      </w:r>
    </w:p>
    <w:p>
      <w:pPr>
        <w:spacing w:line="579" w:lineRule="atLeast"/>
        <w:ind w:firstLine="641"/>
        <w:rPr>
          <w:rStyle w:val="7"/>
          <w:rFonts w:eastAsia="华文宋体"/>
          <w:szCs w:val="32"/>
        </w:rPr>
      </w:pPr>
    </w:p>
    <w:p>
      <w:pPr>
        <w:pStyle w:val="2"/>
        <w:spacing w:line="700" w:lineRule="exact"/>
        <w:rPr>
          <w:rFonts w:hint="eastAsia" w:ascii="方正小标宋简体"/>
          <w:b/>
        </w:rPr>
      </w:pPr>
      <w:r>
        <w:rPr>
          <w:rStyle w:val="7"/>
          <w:rFonts w:hint="eastAsia" w:ascii="方正小标宋简体"/>
          <w:b w:val="0"/>
          <w:bCs w:val="0"/>
        </w:rPr>
        <w:t>2023年湖南省农区蝗虫防控技术方案</w:t>
      </w:r>
    </w:p>
    <w:p>
      <w:pPr>
        <w:spacing w:line="564" w:lineRule="atLeast"/>
        <w:ind w:firstLine="640"/>
      </w:pPr>
    </w:p>
    <w:p>
      <w:pPr>
        <w:spacing w:line="564" w:lineRule="atLeast"/>
        <w:ind w:firstLine="640"/>
      </w:pPr>
      <w:r>
        <w:t>根据各地调查监测及省植保植检站组织有关专家结合气象、当前蝗虫发生实况等因素会商预测，预计2023年夏秋我省气温偏高、降雨偏少，气象条件有利于发生高密度蝗虫为害，特别是前涝后旱区域。为做好农区蝗虫防治工作，保障农业和粮食生产安全，特制订本方案。</w:t>
      </w:r>
    </w:p>
    <w:p>
      <w:pPr>
        <w:pStyle w:val="3"/>
        <w:keepNext w:val="0"/>
        <w:keepLines w:val="0"/>
        <w:spacing w:line="564" w:lineRule="atLeast"/>
        <w:ind w:firstLine="640"/>
      </w:pPr>
      <w:r>
        <w:t>一、防控目标</w:t>
      </w:r>
    </w:p>
    <w:p>
      <w:pPr>
        <w:spacing w:line="564" w:lineRule="atLeast"/>
        <w:ind w:firstLine="640"/>
      </w:pPr>
      <w:r>
        <w:t>按照主动监测、积极预防、有效处置的总体要求，强化越北腹露蝗、黄脊竹蝗、稻蝗等蝗虫监测预警，抓准重点治理区域、落实关键防控技术，推进专业化统防统治和群防群治，实现“蝗虫不二次起飞、不扩散危害”的总体防控目标。</w:t>
      </w:r>
    </w:p>
    <w:p>
      <w:pPr>
        <w:pStyle w:val="3"/>
        <w:keepNext w:val="0"/>
        <w:keepLines w:val="0"/>
        <w:spacing w:line="564" w:lineRule="atLeast"/>
        <w:ind w:firstLine="640"/>
      </w:pPr>
      <w:r>
        <w:t>二、防控策略</w:t>
      </w:r>
    </w:p>
    <w:p>
      <w:pPr>
        <w:spacing w:line="564" w:lineRule="atLeast"/>
        <w:ind w:firstLine="640"/>
      </w:pPr>
      <w:r>
        <w:t>强化“政府主导、属地责任、分类指导、联防联控”的工作机制，贯彻“改治并举”的治蝗工作方针，在摸清蝗情的基础上，优先采用生态调控、生物防治等绿色防控技术措施，在高密度发生区及时开展化学应急防治处置，科学选药、精准施药，实现蝗虫高效防治。</w:t>
      </w:r>
    </w:p>
    <w:p>
      <w:pPr>
        <w:pStyle w:val="3"/>
        <w:keepNext w:val="0"/>
        <w:keepLines w:val="0"/>
        <w:spacing w:line="564" w:lineRule="atLeast"/>
        <w:ind w:firstLine="640"/>
      </w:pPr>
      <w:r>
        <w:t>三、防控重点</w:t>
      </w:r>
    </w:p>
    <w:p>
      <w:pPr>
        <w:spacing w:line="564" w:lineRule="atLeast"/>
        <w:ind w:firstLine="640"/>
      </w:pPr>
      <w:r>
        <w:t>越北腹露蝗、黄脊竹蝗、稻蝗。</w:t>
      </w:r>
    </w:p>
    <w:p>
      <w:pPr>
        <w:pStyle w:val="3"/>
        <w:keepNext w:val="0"/>
        <w:keepLines w:val="0"/>
        <w:spacing w:line="579" w:lineRule="atLeast"/>
        <w:ind w:firstLine="640"/>
      </w:pPr>
      <w:r>
        <w:t>四、防控措施</w:t>
      </w:r>
    </w:p>
    <w:p>
      <w:pPr>
        <w:pStyle w:val="4"/>
        <w:keepNext w:val="0"/>
        <w:keepLines w:val="0"/>
        <w:spacing w:line="579" w:lineRule="atLeast"/>
        <w:ind w:firstLine="643"/>
        <w:rPr>
          <w:b w:val="0"/>
        </w:rPr>
      </w:pPr>
      <w:r>
        <w:rPr>
          <w:rStyle w:val="7"/>
          <w:b/>
          <w:bCs w:val="0"/>
        </w:rPr>
        <w:t>（一）防治指标与适期</w:t>
      </w:r>
    </w:p>
    <w:p>
      <w:pPr>
        <w:spacing w:line="579" w:lineRule="atLeast"/>
        <w:ind w:firstLine="640"/>
      </w:pPr>
      <w:r>
        <w:t>防治指标为10头/m</w:t>
      </w:r>
      <w:r>
        <w:rPr>
          <w:vertAlign w:val="superscript"/>
        </w:rPr>
        <w:t>2</w:t>
      </w:r>
      <w:r>
        <w:t>。防治适期为蝗蝻2-4龄盛期。</w:t>
      </w:r>
    </w:p>
    <w:p>
      <w:pPr>
        <w:pStyle w:val="4"/>
        <w:keepNext w:val="0"/>
        <w:keepLines w:val="0"/>
        <w:spacing w:line="579" w:lineRule="atLeast"/>
        <w:ind w:firstLine="643"/>
        <w:rPr>
          <w:b w:val="0"/>
        </w:rPr>
      </w:pPr>
      <w:r>
        <w:rPr>
          <w:rStyle w:val="7"/>
          <w:b/>
          <w:bCs w:val="0"/>
        </w:rPr>
        <w:t>（二）主要技术措施</w:t>
      </w:r>
    </w:p>
    <w:p>
      <w:pPr>
        <w:spacing w:line="579" w:lineRule="atLeast"/>
        <w:ind w:firstLine="643"/>
      </w:pPr>
      <w:r>
        <w:rPr>
          <w:b/>
        </w:rPr>
        <w:t>1.生态控制。</w:t>
      </w:r>
      <w:r>
        <w:t>改造蝗虫孳生地，压减适生地面积，抑制蝗虫发生。在蝗虫常年重发区域，可通过垦荒种植、减少撂荒地面积，春秋深耕细耙(耕深10-20cm)等措施恶化其栖息环境，破坏蝗虫产卵适生环境，压低虫源基数，减轻发生程度。</w:t>
      </w:r>
    </w:p>
    <w:p>
      <w:pPr>
        <w:spacing w:line="579" w:lineRule="atLeast"/>
        <w:ind w:firstLine="643"/>
      </w:pPr>
      <w:r>
        <w:rPr>
          <w:rStyle w:val="7"/>
          <w:szCs w:val="32"/>
        </w:rPr>
        <w:t>2.生物防治。</w:t>
      </w:r>
      <w:r>
        <w:t>中低密度发生区（5头/m</w:t>
      </w:r>
      <w:r>
        <w:rPr>
          <w:vertAlign w:val="superscript"/>
        </w:rPr>
        <w:t>2</w:t>
      </w:r>
      <w:r>
        <w:t>以下）和生态敏感区（包括湖库、水源保护区、自然保护区等禁止或限制使用化学农药的区域），可在2-3龄蝗蝻盛期优先使用蝗虫微孢子虫、金龟子绿僵菌等微生物农药防治，合理使用苦参碱、印楝素等植物源农药。</w:t>
      </w:r>
    </w:p>
    <w:p>
      <w:pPr>
        <w:spacing w:line="579" w:lineRule="atLeast"/>
        <w:ind w:firstLine="643"/>
      </w:pPr>
      <w:r>
        <w:rPr>
          <w:b/>
        </w:rPr>
        <w:t>3.化学防治。</w:t>
      </w:r>
      <w:r>
        <w:t>高密度发生区</w:t>
      </w:r>
      <w:r>
        <w:rPr>
          <w:rFonts w:hint="eastAsia"/>
        </w:rPr>
        <w:t>（</w:t>
      </w:r>
      <w:r>
        <w:t>&gt;10 头/ m</w:t>
      </w:r>
      <w:r>
        <w:rPr>
          <w:vertAlign w:val="superscript"/>
        </w:rPr>
        <w:t>2</w:t>
      </w:r>
      <w:r>
        <w:rPr>
          <w:rFonts w:hint="eastAsia"/>
        </w:rPr>
        <w:t>）</w:t>
      </w:r>
      <w:r>
        <w:t xml:space="preserve"> 、集中连片发生区域，抓住幼虫低龄期，及时采用植保无人机或大型施药器械实施应急防治和统防统治，对分散发生区实施重点挑治和点杀点治。药剂可选用高效氯氰菊酯、马拉硫磷、高氯·马、阿维·三唑磷等或其它对蝗虫敏感药剂。在玉米、高粱、芦苇等高秆作物田以及发生环境复杂区，使用烟雾机在清晨或傍晚进行防治。</w:t>
      </w:r>
    </w:p>
    <w:p>
      <w:pPr>
        <w:pStyle w:val="3"/>
        <w:keepNext w:val="0"/>
        <w:keepLines w:val="0"/>
        <w:spacing w:line="579" w:lineRule="atLeast"/>
        <w:ind w:firstLine="640"/>
      </w:pPr>
      <w:r>
        <w:t>五、注意事项</w:t>
      </w:r>
    </w:p>
    <w:p>
      <w:pPr>
        <w:spacing w:line="579" w:lineRule="atLeast"/>
        <w:ind w:firstLine="643"/>
      </w:pPr>
      <w:r>
        <w:rPr>
          <w:rStyle w:val="8"/>
        </w:rPr>
        <w:t>（一）开展防效评估。</w:t>
      </w:r>
      <w:r>
        <w:t>注意监测蝗虫种群数量变化，跟踪防治效果，适时开展评价，一旦防治效果达到预期目标，即可终止防治行动，避免过度施药。</w:t>
      </w:r>
    </w:p>
    <w:p>
      <w:pPr>
        <w:spacing w:line="579" w:lineRule="atLeast"/>
        <w:ind w:firstLine="643"/>
      </w:pPr>
      <w:r>
        <w:rPr>
          <w:rStyle w:val="8"/>
        </w:rPr>
        <w:t>（二）落实防护措施。</w:t>
      </w:r>
      <w:r>
        <w:t>提前发布植保无人机飞防作业公告、设置防治区警示提醒、强化防治人员的个人防护以及对蜜蜂等非靶标生物的安全保护，蚕桑区严禁使用BT、氯氰菊酯等对蚕敏感的药剂。</w:t>
      </w:r>
    </w:p>
    <w:p>
      <w:pPr>
        <w:spacing w:line="579" w:lineRule="atLeast"/>
        <w:ind w:firstLine="618"/>
        <w:rPr>
          <w:spacing w:val="-6"/>
        </w:rPr>
      </w:pPr>
      <w:r>
        <w:rPr>
          <w:rStyle w:val="8"/>
          <w:spacing w:val="-6"/>
        </w:rPr>
        <w:t>（三）提高施药水平。</w:t>
      </w:r>
      <w:r>
        <w:rPr>
          <w:spacing w:val="-6"/>
        </w:rPr>
        <w:t>化学防治时，应考虑条带间隔施药，留出合理的天敌避难区域。尽可能减少蝗虫防治作业对天敌的危害。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AD8F6AA-2C4C-4186-A29A-3A2EE18C37C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C847311A-B11D-456A-8DCF-9EBDF5FE6A6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5BA345C9-0F60-4249-87A2-45E18FED9B5F}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2BD8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600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ind w:firstLine="200" w:firstLineChars="200"/>
      <w:outlineLvl w:val="1"/>
    </w:pPr>
    <w:rPr>
      <w:rFonts w:eastAsia="黑体"/>
      <w:bCs/>
      <w:szCs w:val="32"/>
    </w:rPr>
  </w:style>
  <w:style w:type="paragraph" w:styleId="4">
    <w:name w:val="heading 3"/>
    <w:basedOn w:val="1"/>
    <w:next w:val="1"/>
    <w:link w:val="8"/>
    <w:qFormat/>
    <w:uiPriority w:val="0"/>
    <w:pPr>
      <w:keepNext/>
      <w:keepLines/>
      <w:outlineLvl w:val="2"/>
    </w:pPr>
    <w:rPr>
      <w:rFonts w:eastAsia="楷体_GB2312"/>
      <w:b/>
      <w:bCs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qFormat/>
    <w:uiPriority w:val="22"/>
    <w:rPr>
      <w:b/>
      <w:bCs/>
    </w:rPr>
  </w:style>
  <w:style w:type="character" w:customStyle="1" w:styleId="8">
    <w:name w:val="标题 3 Char"/>
    <w:link w:val="4"/>
    <w:uiPriority w:val="0"/>
    <w:rPr>
      <w:rFonts w:eastAsia="楷体_GB2312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2023-07-20T01:14:06Z</dcterms:created>
  <dc:creator>Lenovo</dc:creator>
  <cp:lastModifiedBy>蕙</cp:lastModifiedBy>
  <dcterms:modified xsi:type="dcterms:W3CDTF">2023-07-20T01:14:38Z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433D0A5643864FF68C444B49F482DF2F_12</vt:lpwstr>
  </property>
</Properties>
</file>