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仿宋_GB2312"/>
          <w:color w:val="auto"/>
          <w:sz w:val="32"/>
          <w:szCs w:val="32"/>
        </w:rPr>
      </w:pPr>
      <w:r>
        <w:rPr>
          <w:rFonts w:hint="eastAsia" w:eastAsia="黑体"/>
          <w:bCs/>
          <w:color w:val="auto"/>
          <w:sz w:val="32"/>
          <w:szCs w:val="32"/>
        </w:rPr>
        <w:t>附件1</w:t>
      </w:r>
    </w:p>
    <w:p>
      <w:pPr>
        <w:spacing w:beforeLines="100" w:afterLines="100" w:line="6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202</w:t>
      </w:r>
      <w:r>
        <w:rPr>
          <w:rFonts w:hint="eastAsia" w:ascii="方正小标宋简体" w:eastAsia="方正小标宋简体"/>
          <w:color w:val="auto"/>
          <w:sz w:val="44"/>
          <w:szCs w:val="44"/>
          <w:lang w:val="en-US" w:eastAsia="zh-CN"/>
        </w:rPr>
        <w:t>4</w:t>
      </w:r>
      <w:r>
        <w:rPr>
          <w:rFonts w:hint="eastAsia" w:ascii="方正小标宋简体" w:eastAsia="方正小标宋简体"/>
          <w:color w:val="auto"/>
          <w:sz w:val="44"/>
          <w:szCs w:val="44"/>
        </w:rPr>
        <w:t>年开展病虫害防控效果评价任务分解表</w:t>
      </w:r>
    </w:p>
    <w:tbl>
      <w:tblPr>
        <w:tblStyle w:val="3"/>
        <w:tblW w:w="52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2913"/>
        <w:gridCol w:w="1584"/>
        <w:gridCol w:w="1349"/>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ascii="黑体" w:hAnsi="黑体" w:eastAsia="黑体" w:cs="黑体"/>
                <w:color w:val="auto"/>
                <w:sz w:val="30"/>
                <w:szCs w:val="30"/>
              </w:rPr>
            </w:pPr>
            <w:r>
              <w:rPr>
                <w:rFonts w:hint="eastAsia" w:ascii="黑体" w:hAnsi="黑体" w:eastAsia="黑体" w:cs="黑体"/>
                <w:color w:val="auto"/>
                <w:sz w:val="30"/>
                <w:szCs w:val="30"/>
              </w:rPr>
              <w:t>市  州</w:t>
            </w:r>
          </w:p>
        </w:tc>
        <w:tc>
          <w:tcPr>
            <w:tcW w:w="1658" w:type="pct"/>
            <w:noWrap/>
            <w:vAlign w:val="center"/>
          </w:tcPr>
          <w:p>
            <w:pPr>
              <w:widowControl/>
              <w:spacing w:line="340" w:lineRule="exact"/>
              <w:jc w:val="center"/>
              <w:rPr>
                <w:rFonts w:ascii="黑体" w:hAnsi="黑体" w:eastAsia="黑体" w:cs="黑体"/>
                <w:color w:val="auto"/>
                <w:sz w:val="30"/>
                <w:szCs w:val="30"/>
              </w:rPr>
            </w:pPr>
            <w:r>
              <w:rPr>
                <w:rFonts w:hint="eastAsia" w:ascii="黑体" w:hAnsi="黑体" w:eastAsia="黑体" w:cs="黑体"/>
                <w:color w:val="auto"/>
                <w:sz w:val="30"/>
                <w:szCs w:val="30"/>
              </w:rPr>
              <w:t>水稻</w:t>
            </w:r>
          </w:p>
        </w:tc>
        <w:tc>
          <w:tcPr>
            <w:tcW w:w="913" w:type="pct"/>
            <w:noWrap/>
            <w:vAlign w:val="center"/>
          </w:tcPr>
          <w:p>
            <w:pPr>
              <w:widowControl/>
              <w:spacing w:line="340" w:lineRule="exact"/>
              <w:jc w:val="center"/>
              <w:rPr>
                <w:rFonts w:ascii="黑体" w:hAnsi="黑体" w:eastAsia="黑体" w:cs="黑体"/>
                <w:color w:val="auto"/>
                <w:sz w:val="30"/>
                <w:szCs w:val="30"/>
              </w:rPr>
            </w:pPr>
            <w:r>
              <w:rPr>
                <w:rFonts w:hint="eastAsia" w:ascii="黑体" w:hAnsi="黑体" w:eastAsia="黑体" w:cs="黑体"/>
                <w:color w:val="auto"/>
                <w:sz w:val="30"/>
                <w:szCs w:val="30"/>
              </w:rPr>
              <w:t>油菜</w:t>
            </w:r>
          </w:p>
        </w:tc>
        <w:tc>
          <w:tcPr>
            <w:tcW w:w="781" w:type="pct"/>
            <w:noWrap/>
            <w:vAlign w:val="center"/>
          </w:tcPr>
          <w:p>
            <w:pPr>
              <w:widowControl/>
              <w:spacing w:line="340" w:lineRule="exact"/>
              <w:jc w:val="center"/>
              <w:rPr>
                <w:rFonts w:ascii="黑体" w:hAnsi="黑体" w:eastAsia="黑体" w:cs="黑体"/>
                <w:color w:val="auto"/>
                <w:sz w:val="30"/>
                <w:szCs w:val="30"/>
              </w:rPr>
            </w:pPr>
            <w:r>
              <w:rPr>
                <w:rFonts w:hint="eastAsia" w:ascii="黑体" w:hAnsi="黑体" w:eastAsia="黑体" w:cs="黑体"/>
                <w:color w:val="auto"/>
                <w:sz w:val="30"/>
                <w:szCs w:val="30"/>
              </w:rPr>
              <w:t>玉米</w:t>
            </w:r>
          </w:p>
        </w:tc>
        <w:tc>
          <w:tcPr>
            <w:tcW w:w="781" w:type="pct"/>
            <w:noWrap/>
            <w:vAlign w:val="center"/>
          </w:tcPr>
          <w:p>
            <w:pPr>
              <w:widowControl/>
              <w:spacing w:line="340" w:lineRule="exact"/>
              <w:jc w:val="center"/>
              <w:rPr>
                <w:rFonts w:ascii="黑体" w:hAnsi="黑体" w:eastAsia="黑体" w:cs="黑体"/>
                <w:color w:val="auto"/>
                <w:sz w:val="30"/>
                <w:szCs w:val="30"/>
              </w:rPr>
            </w:pPr>
            <w:r>
              <w:rPr>
                <w:rFonts w:hint="eastAsia" w:ascii="黑体" w:hAnsi="黑体" w:eastAsia="黑体" w:cs="黑体"/>
                <w:color w:val="auto"/>
                <w:sz w:val="30"/>
                <w:szCs w:val="30"/>
              </w:rPr>
              <w:t>柑橘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长沙市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宁乡市（早晚稻）</w:t>
            </w:r>
          </w:p>
        </w:tc>
        <w:tc>
          <w:tcPr>
            <w:tcW w:w="913"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浏阳市</w:t>
            </w: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衡阳市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衡东县（早晚稻）</w:t>
            </w:r>
          </w:p>
          <w:p>
            <w:pPr>
              <w:widowControl/>
              <w:spacing w:line="340" w:lineRule="exact"/>
              <w:jc w:val="center"/>
              <w:rPr>
                <w:rFonts w:eastAsia="仿宋_GB2312"/>
                <w:color w:val="auto"/>
                <w:sz w:val="30"/>
                <w:szCs w:val="30"/>
              </w:rPr>
            </w:pPr>
            <w:r>
              <w:rPr>
                <w:rFonts w:hint="eastAsia" w:eastAsia="仿宋_GB2312"/>
                <w:color w:val="auto"/>
                <w:sz w:val="30"/>
                <w:szCs w:val="30"/>
              </w:rPr>
              <w:t>衡南县（中稻）</w:t>
            </w:r>
          </w:p>
        </w:tc>
        <w:tc>
          <w:tcPr>
            <w:tcW w:w="913" w:type="pct"/>
            <w:noWrap/>
            <w:vAlign w:val="center"/>
          </w:tcPr>
          <w:p>
            <w:pPr>
              <w:widowControl/>
              <w:spacing w:line="340" w:lineRule="exact"/>
              <w:jc w:val="center"/>
              <w:rPr>
                <w:rFonts w:hint="default" w:eastAsia="仿宋_GB2312"/>
                <w:color w:val="auto"/>
                <w:sz w:val="30"/>
                <w:szCs w:val="30"/>
                <w:lang w:val="en-US" w:eastAsia="zh-CN"/>
              </w:rPr>
            </w:pPr>
            <w:r>
              <w:rPr>
                <w:rFonts w:hint="eastAsia" w:eastAsia="仿宋_GB2312"/>
                <w:color w:val="auto"/>
                <w:sz w:val="30"/>
                <w:szCs w:val="30"/>
                <w:lang w:val="en-US" w:eastAsia="zh-CN"/>
              </w:rPr>
              <w:t>衡阳县</w:t>
            </w: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株洲市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茶陵县（中稻）</w:t>
            </w:r>
          </w:p>
        </w:tc>
        <w:tc>
          <w:tcPr>
            <w:tcW w:w="913"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攸县</w:t>
            </w: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湘潭市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湘乡市（早晚稻）</w:t>
            </w:r>
          </w:p>
        </w:tc>
        <w:tc>
          <w:tcPr>
            <w:tcW w:w="913"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邵阳市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邵东市（早晚稻）</w:t>
            </w:r>
          </w:p>
        </w:tc>
        <w:tc>
          <w:tcPr>
            <w:tcW w:w="913"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隆回县</w:t>
            </w: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新宁县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岳阳市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临湘县（早晚稻）</w:t>
            </w:r>
          </w:p>
          <w:p>
            <w:pPr>
              <w:widowControl/>
              <w:spacing w:line="340" w:lineRule="exact"/>
              <w:jc w:val="center"/>
              <w:rPr>
                <w:rFonts w:eastAsia="仿宋_GB2312"/>
                <w:color w:val="auto"/>
                <w:sz w:val="30"/>
                <w:szCs w:val="30"/>
              </w:rPr>
            </w:pPr>
            <w:r>
              <w:rPr>
                <w:rFonts w:hint="eastAsia" w:eastAsia="仿宋_GB2312"/>
                <w:color w:val="auto"/>
                <w:sz w:val="30"/>
                <w:szCs w:val="30"/>
              </w:rPr>
              <w:t>华容县（中稻）</w:t>
            </w:r>
          </w:p>
        </w:tc>
        <w:tc>
          <w:tcPr>
            <w:tcW w:w="913"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常德市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澧县（早晚稻）</w:t>
            </w:r>
          </w:p>
        </w:tc>
        <w:tc>
          <w:tcPr>
            <w:tcW w:w="913"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桃源县</w:t>
            </w:r>
          </w:p>
        </w:tc>
        <w:tc>
          <w:tcPr>
            <w:tcW w:w="781" w:type="pct"/>
            <w:noWrap/>
            <w:vAlign w:val="center"/>
          </w:tcPr>
          <w:p>
            <w:pPr>
              <w:widowControl/>
              <w:spacing w:line="340" w:lineRule="exact"/>
              <w:jc w:val="center"/>
              <w:rPr>
                <w:rFonts w:hint="eastAsia" w:eastAsia="仿宋_GB2312"/>
                <w:color w:val="auto"/>
                <w:sz w:val="30"/>
                <w:szCs w:val="30"/>
                <w:lang w:val="en-US" w:eastAsia="zh-CN"/>
              </w:rPr>
            </w:pPr>
            <w:r>
              <w:rPr>
                <w:rFonts w:hint="eastAsia" w:eastAsia="仿宋_GB2312"/>
                <w:color w:val="auto"/>
                <w:sz w:val="30"/>
                <w:szCs w:val="30"/>
              </w:rPr>
              <w:t>安乡</w:t>
            </w:r>
            <w:r>
              <w:rPr>
                <w:rFonts w:hint="eastAsia" w:eastAsia="仿宋_GB2312"/>
                <w:color w:val="auto"/>
                <w:sz w:val="30"/>
                <w:szCs w:val="30"/>
                <w:lang w:val="en-US" w:eastAsia="zh-CN"/>
              </w:rPr>
              <w:t>县</w:t>
            </w:r>
          </w:p>
        </w:tc>
        <w:tc>
          <w:tcPr>
            <w:tcW w:w="781"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临澧县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张家界市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永定区（中稻）</w:t>
            </w:r>
          </w:p>
        </w:tc>
        <w:tc>
          <w:tcPr>
            <w:tcW w:w="913"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hint="eastAsia" w:eastAsia="仿宋_GB2312"/>
                <w:color w:val="auto"/>
                <w:sz w:val="30"/>
                <w:szCs w:val="30"/>
                <w:lang w:val="en-US" w:eastAsia="zh-CN"/>
              </w:rPr>
            </w:pPr>
            <w:r>
              <w:rPr>
                <w:rFonts w:hint="eastAsia" w:eastAsia="仿宋_GB2312"/>
                <w:color w:val="auto"/>
                <w:sz w:val="30"/>
                <w:szCs w:val="30"/>
              </w:rPr>
              <w:t>慈利</w:t>
            </w:r>
            <w:r>
              <w:rPr>
                <w:rFonts w:hint="eastAsia" w:eastAsia="仿宋_GB2312"/>
                <w:color w:val="auto"/>
                <w:sz w:val="30"/>
                <w:szCs w:val="30"/>
                <w:lang w:val="en-US" w:eastAsia="zh-CN"/>
              </w:rPr>
              <w:t>县</w:t>
            </w:r>
          </w:p>
        </w:tc>
        <w:tc>
          <w:tcPr>
            <w:tcW w:w="781"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慈利县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益阳市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南县（早晚稻）</w:t>
            </w:r>
          </w:p>
        </w:tc>
        <w:tc>
          <w:tcPr>
            <w:tcW w:w="913"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郴州市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桂阳县（中稻）</w:t>
            </w:r>
          </w:p>
        </w:tc>
        <w:tc>
          <w:tcPr>
            <w:tcW w:w="913"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永州市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东安县（早晚稻）</w:t>
            </w:r>
          </w:p>
        </w:tc>
        <w:tc>
          <w:tcPr>
            <w:tcW w:w="913"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hint="eastAsia" w:eastAsia="仿宋_GB2312"/>
                <w:color w:val="auto"/>
                <w:sz w:val="30"/>
                <w:szCs w:val="30"/>
                <w:lang w:val="en-US" w:eastAsia="zh-CN"/>
              </w:rPr>
            </w:pPr>
            <w:r>
              <w:rPr>
                <w:rFonts w:hint="eastAsia" w:eastAsia="仿宋_GB2312"/>
                <w:color w:val="auto"/>
                <w:sz w:val="30"/>
                <w:szCs w:val="30"/>
              </w:rPr>
              <w:t>江华</w:t>
            </w:r>
            <w:r>
              <w:rPr>
                <w:rFonts w:hint="eastAsia" w:eastAsia="仿宋_GB2312"/>
                <w:color w:val="auto"/>
                <w:sz w:val="30"/>
                <w:szCs w:val="30"/>
                <w:lang w:val="en-US" w:eastAsia="zh-CN"/>
              </w:rPr>
              <w:t>县</w:t>
            </w: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怀化市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通道县（中稻）</w:t>
            </w:r>
          </w:p>
        </w:tc>
        <w:tc>
          <w:tcPr>
            <w:tcW w:w="913"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芷江县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娄底市</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涟源县（早晚稻）</w:t>
            </w:r>
          </w:p>
          <w:p>
            <w:pPr>
              <w:pStyle w:val="2"/>
              <w:jc w:val="center"/>
              <w:rPr>
                <w:rFonts w:eastAsia="仿宋_GB2312"/>
                <w:color w:val="auto"/>
              </w:rPr>
            </w:pPr>
            <w:r>
              <w:rPr>
                <w:rFonts w:hint="eastAsia" w:eastAsia="仿宋_GB2312"/>
                <w:color w:val="auto"/>
                <w:sz w:val="30"/>
                <w:szCs w:val="30"/>
              </w:rPr>
              <w:t>新化县（中稻）</w:t>
            </w:r>
          </w:p>
        </w:tc>
        <w:tc>
          <w:tcPr>
            <w:tcW w:w="913"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双峰县</w:t>
            </w: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湘西自治州</w:t>
            </w:r>
          </w:p>
        </w:tc>
        <w:tc>
          <w:tcPr>
            <w:tcW w:w="1658" w:type="pct"/>
            <w:noWrap/>
            <w:vAlign w:val="center"/>
          </w:tcPr>
          <w:p>
            <w:pPr>
              <w:widowControl/>
              <w:spacing w:line="340" w:lineRule="exact"/>
              <w:jc w:val="center"/>
              <w:rPr>
                <w:rFonts w:eastAsia="仿宋_GB2312"/>
                <w:color w:val="auto"/>
                <w:sz w:val="30"/>
                <w:szCs w:val="30"/>
              </w:rPr>
            </w:pPr>
            <w:r>
              <w:rPr>
                <w:rFonts w:hint="eastAsia" w:eastAsia="仿宋_GB2312"/>
                <w:color w:val="auto"/>
                <w:sz w:val="30"/>
                <w:szCs w:val="30"/>
              </w:rPr>
              <w:t>永顺县（中稻）</w:t>
            </w:r>
          </w:p>
        </w:tc>
        <w:tc>
          <w:tcPr>
            <w:tcW w:w="913"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c>
          <w:tcPr>
            <w:tcW w:w="781" w:type="pct"/>
            <w:noWrap/>
            <w:vAlign w:val="center"/>
          </w:tcPr>
          <w:p>
            <w:pPr>
              <w:widowControl/>
              <w:spacing w:line="340" w:lineRule="exact"/>
              <w:jc w:val="center"/>
              <w:rPr>
                <w:rFonts w:eastAsia="仿宋_GB2312"/>
                <w:color w:val="auto"/>
                <w:sz w:val="30"/>
                <w:szCs w:val="30"/>
              </w:rPr>
            </w:pPr>
          </w:p>
        </w:tc>
      </w:tr>
    </w:tbl>
    <w:p>
      <w:pPr>
        <w:widowControl/>
        <w:ind w:firstLine="330"/>
        <w:jc w:val="left"/>
        <w:rPr>
          <w:rFonts w:ascii="宋体" w:hAnsi="宋体" w:eastAsia="宋体" w:cs="宋体"/>
          <w:color w:val="auto"/>
          <w:sz w:val="24"/>
        </w:rPr>
      </w:pPr>
    </w:p>
    <w:p>
      <w:pPr>
        <w:keepNext w:val="0"/>
        <w:keepLines w:val="0"/>
        <w:pageBreakBefore w:val="0"/>
        <w:widowControl/>
        <w:kinsoku/>
        <w:wordWrap/>
        <w:overflowPunct/>
        <w:topLinePunct w:val="0"/>
        <w:autoSpaceDE/>
        <w:autoSpaceDN/>
        <w:bidi w:val="0"/>
        <w:adjustRightInd/>
        <w:snapToGrid/>
        <w:spacing w:line="400" w:lineRule="exact"/>
        <w:ind w:firstLine="329"/>
        <w:jc w:val="left"/>
        <w:textAlignment w:val="auto"/>
        <w:rPr>
          <w:rFonts w:ascii="宋体" w:hAnsi="宋体" w:eastAsia="宋体" w:cs="宋体"/>
          <w:color w:val="auto"/>
          <w:sz w:val="24"/>
        </w:rPr>
      </w:pPr>
      <w:r>
        <w:rPr>
          <w:rFonts w:hint="eastAsia" w:ascii="宋体" w:hAnsi="宋体" w:eastAsia="宋体" w:cs="宋体"/>
          <w:b/>
          <w:bCs/>
          <w:color w:val="auto"/>
          <w:sz w:val="24"/>
        </w:rPr>
        <w:t>注：</w:t>
      </w:r>
      <w:r>
        <w:rPr>
          <w:rFonts w:hint="eastAsia" w:ascii="宋体" w:hAnsi="宋体" w:eastAsia="宋体" w:cs="宋体"/>
          <w:color w:val="auto"/>
          <w:sz w:val="24"/>
        </w:rPr>
        <w:t>除上述县市区外，市州也可以组织有条件的县市区根据生产实际自行开展相关作物病虫害防控效果评价。</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467A90D-B8E5-44D8-9A45-98FB84879A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6C15ED1-B447-4D5E-8C04-AC876812CB1A}"/>
  </w:font>
  <w:font w:name="仿宋_GB2312">
    <w:altName w:val="仿宋"/>
    <w:panose1 w:val="02010609030101010101"/>
    <w:charset w:val="86"/>
    <w:family w:val="modern"/>
    <w:pitch w:val="default"/>
    <w:sig w:usb0="00000000" w:usb1="00000000" w:usb2="00000000" w:usb3="00000000" w:csb0="00040000" w:csb1="00000000"/>
    <w:embedRegular r:id="rId3" w:fontKey="{2BB1A53F-95FA-4836-81AF-A0D5907AB76F}"/>
  </w:font>
  <w:font w:name="方正小标宋简体">
    <w:panose1 w:val="02000000000000000000"/>
    <w:charset w:val="86"/>
    <w:family w:val="script"/>
    <w:pitch w:val="default"/>
    <w:sig w:usb0="A00002BF" w:usb1="184F6CFA" w:usb2="00000012" w:usb3="00000000" w:csb0="00040001" w:csb1="00000000"/>
    <w:embedRegular r:id="rId4" w:fontKey="{DFB5B171-A392-4D41-9748-A0579367310E}"/>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ODQ3ODhhNjNlYjA4NGIyNGJmMGMxZTk1NGY3NjcifQ=="/>
  </w:docVars>
  <w:rsids>
    <w:rsidRoot w:val="00000000"/>
    <w:rsid w:val="25801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TOC1"/>
    <w:basedOn w:val="1"/>
    <w:next w:val="1"/>
    <w:autoRedefine/>
    <w:qFormat/>
    <w:uiPriority w:val="0"/>
    <w:rPr>
      <w:rFonts w:cs="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2024-04-03T02:26:25Z</dcterms:created>
  <dc:creator>Lenovo</dc:creator>
  <cp:lastModifiedBy>蕙</cp:lastModifiedBy>
  <dcterms:modified xsi:type="dcterms:W3CDTF">2024-04-03T02:26:38Z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7B7628508178418F900C863ACBEACE19_12</vt:lpwstr>
  </property>
</Properties>
</file>