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600" w:lineRule="exact"/>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附件2 </w:t>
      </w: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ascii="Times New Roman" w:hAnsi="Times New Roman" w:eastAsia="方正小标宋简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Times New Roman" w:hAnsi="Times New Roman" w:eastAsia="方正小标宋简体" w:cs="Times New Roman"/>
          <w:color w:val="auto"/>
          <w:sz w:val="44"/>
          <w:szCs w:val="44"/>
        </w:rPr>
      </w:pPr>
      <w:r>
        <w:rPr>
          <w:rFonts w:ascii="Times New Roman" w:hAnsi="Times New Roman" w:eastAsia="方正小标宋简体" w:cs="Times New Roman"/>
          <w:color w:val="auto"/>
          <w:sz w:val="44"/>
          <w:szCs w:val="44"/>
        </w:rPr>
        <w:t>农作物病虫害防控成效暨植保贡献率</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Times New Roman" w:hAnsi="Times New Roman" w:eastAsia="方正小标宋简体" w:cs="Times New Roman"/>
          <w:color w:val="auto"/>
          <w:sz w:val="44"/>
          <w:szCs w:val="44"/>
        </w:rPr>
      </w:pPr>
      <w:r>
        <w:rPr>
          <w:rFonts w:ascii="Times New Roman" w:hAnsi="Times New Roman" w:eastAsia="方正小标宋简体" w:cs="Times New Roman"/>
          <w:color w:val="auto"/>
          <w:sz w:val="44"/>
          <w:szCs w:val="44"/>
        </w:rPr>
        <w:t>评</w:t>
      </w:r>
      <w:r>
        <w:rPr>
          <w:rFonts w:hint="eastAsia" w:ascii="Times New Roman" w:hAnsi="Times New Roman" w:eastAsia="方正小标宋简体" w:cs="Times New Roman"/>
          <w:color w:val="auto"/>
          <w:sz w:val="44"/>
          <w:szCs w:val="44"/>
          <w:lang w:val="en-US" w:eastAsia="zh-CN"/>
        </w:rPr>
        <w:t xml:space="preserve"> </w:t>
      </w:r>
      <w:r>
        <w:rPr>
          <w:rFonts w:ascii="Times New Roman" w:hAnsi="Times New Roman" w:eastAsia="方正小标宋简体" w:cs="Times New Roman"/>
          <w:color w:val="auto"/>
          <w:sz w:val="44"/>
          <w:szCs w:val="44"/>
        </w:rPr>
        <w:t>价</w:t>
      </w:r>
      <w:r>
        <w:rPr>
          <w:rFonts w:hint="eastAsia" w:ascii="Times New Roman" w:hAnsi="Times New Roman" w:eastAsia="方正小标宋简体" w:cs="Times New Roman"/>
          <w:color w:val="auto"/>
          <w:sz w:val="44"/>
          <w:szCs w:val="44"/>
          <w:lang w:val="en-US" w:eastAsia="zh-CN"/>
        </w:rPr>
        <w:t xml:space="preserve"> </w:t>
      </w:r>
      <w:r>
        <w:rPr>
          <w:rFonts w:ascii="Times New Roman" w:hAnsi="Times New Roman" w:eastAsia="方正小标宋简体" w:cs="Times New Roman"/>
          <w:color w:val="auto"/>
          <w:sz w:val="44"/>
          <w:szCs w:val="44"/>
        </w:rPr>
        <w:t>办</w:t>
      </w:r>
      <w:r>
        <w:rPr>
          <w:rFonts w:hint="eastAsia" w:ascii="Times New Roman" w:hAnsi="Times New Roman" w:eastAsia="方正小标宋简体" w:cs="Times New Roman"/>
          <w:color w:val="auto"/>
          <w:sz w:val="44"/>
          <w:szCs w:val="44"/>
          <w:lang w:val="en-US" w:eastAsia="zh-CN"/>
        </w:rPr>
        <w:t xml:space="preserve"> </w:t>
      </w:r>
      <w:r>
        <w:rPr>
          <w:rFonts w:ascii="Times New Roman" w:hAnsi="Times New Roman" w:eastAsia="方正小标宋简体" w:cs="Times New Roman"/>
          <w:color w:val="auto"/>
          <w:sz w:val="44"/>
          <w:szCs w:val="44"/>
        </w:rPr>
        <w:t>法</w:t>
      </w:r>
    </w:p>
    <w:p>
      <w:pPr>
        <w:pStyle w:val="2"/>
        <w:keepNext w:val="0"/>
        <w:keepLines w:val="0"/>
        <w:pageBreakBefore w:val="0"/>
        <w:widowControl w:val="0"/>
        <w:kinsoku/>
        <w:wordWrap/>
        <w:overflowPunct/>
        <w:topLinePunct w:val="0"/>
        <w:autoSpaceDE/>
        <w:autoSpaceDN/>
        <w:bidi w:val="0"/>
        <w:adjustRightInd/>
        <w:textAlignment w:val="auto"/>
      </w:pPr>
    </w:p>
    <w:p>
      <w:pPr>
        <w:keepNext w:val="0"/>
        <w:keepLines w:val="0"/>
        <w:pageBreakBefore w:val="0"/>
        <w:widowControl w:val="0"/>
        <w:kinsoku/>
        <w:wordWrap/>
        <w:overflowPunct/>
        <w:topLinePunct w:val="0"/>
        <w:autoSpaceDE/>
        <w:autoSpaceDN/>
        <w:bidi w:val="0"/>
        <w:adjustRightInd/>
        <w:snapToGrid w:val="0"/>
        <w:spacing w:line="60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植物保护贡献率是指在农作物生产中，通过采取种子处理，农业防治、生物防治、生态调控、理化诱控、化学防治等各类病虫害防治措施，挽回产量占农作物总产的比率。植物保护贡献率可采用完全不防治情况下的产量损失率减去防控条件下的产量损失率加权平均进行测算。为做好农作物病虫害防控效果和植物保护贡献率评价工作，客观反映农作物病虫害的严重程度和防控工作的成效，特制定本办法。</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一、试验处理安排</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楷体_GB2312" w:cs="Times New Roman"/>
          <w:b/>
          <w:bCs/>
          <w:color w:val="auto"/>
          <w:sz w:val="32"/>
          <w:szCs w:val="32"/>
        </w:rPr>
      </w:pPr>
      <w:r>
        <w:rPr>
          <w:rFonts w:ascii="Times New Roman" w:hAnsi="Times New Roman" w:eastAsia="楷体_GB2312" w:cs="Times New Roman"/>
          <w:b/>
          <w:bCs/>
          <w:color w:val="auto"/>
          <w:sz w:val="32"/>
          <w:szCs w:val="32"/>
        </w:rPr>
        <w:t>(一)试验站点选择</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为了既减少工作强度和重复数，又使评价结果具有代表性根据生态类型、产量水平和防控能力等在全国选择具有代表性的省份开展评价试验和数据采集工作。评价工作以作物为主线以省为单位，每种作物选择有代表性的主产县3-5个作为试验单位开展评价工作。</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楷体_GB2312" w:cs="Times New Roman"/>
          <w:b/>
          <w:bCs/>
          <w:color w:val="auto"/>
          <w:sz w:val="32"/>
          <w:szCs w:val="32"/>
        </w:rPr>
      </w:pPr>
      <w:r>
        <w:rPr>
          <w:rFonts w:ascii="Times New Roman" w:hAnsi="Times New Roman" w:eastAsia="楷体_GB2312" w:cs="Times New Roman"/>
          <w:b/>
          <w:bCs/>
          <w:color w:val="auto"/>
          <w:sz w:val="32"/>
          <w:szCs w:val="32"/>
        </w:rPr>
        <w:t>(二)试验处理安排</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仿宋_GB2312" w:cs="Times New Roman"/>
          <w:color w:val="auto"/>
          <w:spacing w:val="-11"/>
          <w:sz w:val="32"/>
          <w:szCs w:val="32"/>
        </w:rPr>
      </w:pPr>
      <w:r>
        <w:rPr>
          <w:rFonts w:ascii="Times New Roman" w:hAnsi="Times New Roman" w:eastAsia="仿宋_GB2312" w:cs="Times New Roman"/>
          <w:color w:val="auto"/>
          <w:sz w:val="32"/>
          <w:szCs w:val="32"/>
        </w:rPr>
        <w:t>评价试验以开展田间小区试验为主，在设置完全不防治病虫草害、完全不防治病虫害2个对照处理的基础上，设置严格防治、统防统治、农户常规防治等至少5个处理。其中，完全不防治病虫害、完全不防治病虫草害2个对照处理667</w:t>
      </w:r>
      <w:r>
        <w:rPr>
          <w:rFonts w:ascii="Times New Roman" w:hAnsi="Times New Roman" w:eastAsia="仿宋_GB2312" w:cs="Times New Roman"/>
          <w:color w:val="auto"/>
          <w:spacing w:val="-11"/>
          <w:sz w:val="32"/>
          <w:szCs w:val="32"/>
        </w:rPr>
        <w:t>㎡，不设重复</w:t>
      </w:r>
      <w:r>
        <w:rPr>
          <w:rFonts w:hint="eastAsia" w:ascii="Times New Roman" w:hAnsi="Times New Roman" w:eastAsia="仿宋_GB2312" w:cs="Times New Roman"/>
          <w:color w:val="auto"/>
          <w:spacing w:val="-11"/>
          <w:sz w:val="32"/>
          <w:szCs w:val="32"/>
        </w:rPr>
        <w:t>；</w:t>
      </w:r>
      <w:r>
        <w:rPr>
          <w:rFonts w:ascii="Times New Roman" w:hAnsi="Times New Roman" w:eastAsia="仿宋_GB2312" w:cs="Times New Roman"/>
          <w:color w:val="auto"/>
          <w:spacing w:val="-11"/>
          <w:sz w:val="32"/>
          <w:szCs w:val="32"/>
        </w:rPr>
        <w:t>其他3个处理，每个处理134-200㎡，重复3次。</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楷体_GB2312" w:cs="Times New Roman"/>
          <w:b/>
          <w:bCs/>
          <w:color w:val="auto"/>
          <w:sz w:val="32"/>
          <w:szCs w:val="32"/>
        </w:rPr>
      </w:pPr>
      <w:r>
        <w:rPr>
          <w:rFonts w:ascii="Times New Roman" w:hAnsi="Times New Roman" w:eastAsia="楷体_GB2312" w:cs="Times New Roman"/>
          <w:b/>
          <w:bCs/>
          <w:color w:val="auto"/>
          <w:sz w:val="32"/>
          <w:szCs w:val="32"/>
        </w:rPr>
        <w:t>(三)试验数据采集</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根据评价测算工作需要，在病虫害发生高峰期(稳定期)以不同防治处理为基础，开展病虫害调查，记录不同防治情况(处理)后的病虫害发生情况。在作物收获期，通过实收实打或抽样调查的方法测量不同防控处理情况下的产量，判断不同防治情况下病虫害造成的损失和防治挽回损失，为测算防控植保贡献率收集基础数据。相关数据记录见附表1-4。</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黑体" w:cs="Times New Roman"/>
          <w:b/>
          <w:bCs/>
          <w:color w:val="auto"/>
          <w:sz w:val="32"/>
          <w:szCs w:val="32"/>
        </w:rPr>
      </w:pPr>
      <w:r>
        <w:rPr>
          <w:rFonts w:ascii="Times New Roman" w:hAnsi="Times New Roman" w:eastAsia="黑体" w:cs="Times New Roman"/>
          <w:b/>
          <w:bCs/>
          <w:color w:val="auto"/>
          <w:sz w:val="32"/>
          <w:szCs w:val="32"/>
        </w:rPr>
        <w:t>二、危害损失率测算</w:t>
      </w:r>
    </w:p>
    <w:p>
      <w:pPr>
        <w:keepNext w:val="0"/>
        <w:keepLines w:val="0"/>
        <w:pageBreakBefore w:val="0"/>
        <w:widowControl w:val="0"/>
        <w:kinsoku/>
        <w:wordWrap/>
        <w:overflowPunct/>
        <w:topLinePunct w:val="0"/>
        <w:autoSpaceDE/>
        <w:autoSpaceDN/>
        <w:bidi w:val="0"/>
        <w:adjustRightInd/>
        <w:snapToGrid w:val="0"/>
        <w:spacing w:line="560" w:lineRule="exact"/>
        <w:ind w:firstLine="641"/>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评价试验设定，在严格防治情况下，病虫草害造成的损失最轻，按理论产量计;完全不防治情况下，病虫草害造成的损失最大;不同防控力度下造成的危害损失居于中间。通过测算病虫草害造成的最大损失率和不同防治力度的实际损失率，进而确定病虫草害不同发生程度的危害损失率。其计算方法如公式(1)-(3)。</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最大损失率(%)=[(严格防治处理的单产-完全不防治处理的单产)/严格防治处理的单产]×100…………………(1)</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实际损失率(%)=[(严格防治处理的单产-不同防治处理的单产)/严格防治处理的单产]×100……………………(2)</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挽回损失率(%)=[(不同防治处理的单产-完全不防治处理的单产)/严格防治处理的单产]×100…………………(3)</w:t>
      </w:r>
    </w:p>
    <w:p>
      <w:pPr>
        <w:keepNext w:val="0"/>
        <w:keepLines w:val="0"/>
        <w:pageBreakBefore w:val="0"/>
        <w:widowControl w:val="0"/>
        <w:kinsoku/>
        <w:wordWrap/>
        <w:overflowPunct/>
        <w:topLinePunct w:val="0"/>
        <w:autoSpaceDE/>
        <w:autoSpaceDN/>
        <w:bidi w:val="0"/>
        <w:adjustRightInd/>
        <w:snapToGrid w:val="0"/>
        <w:spacing w:line="560" w:lineRule="exact"/>
        <w:ind w:firstLine="641"/>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测试试验处理和结果数据记录表见附表1</w:t>
      </w:r>
      <w:r>
        <w:rPr>
          <w:rFonts w:hint="eastAsia"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如果不设置田间小区试验，也可采用田间抽样调查和建立损失模型拟合等方法，计算不同发生程度的危害损失率。</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三、植保贡献率测算</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楷体_GB2312" w:cs="Times New Roman"/>
          <w:b/>
          <w:bCs/>
          <w:color w:val="auto"/>
          <w:sz w:val="32"/>
          <w:szCs w:val="32"/>
        </w:rPr>
      </w:pPr>
      <w:r>
        <w:rPr>
          <w:rFonts w:ascii="Times New Roman" w:hAnsi="Times New Roman" w:eastAsia="楷体_GB2312" w:cs="Times New Roman"/>
          <w:b/>
          <w:bCs/>
          <w:color w:val="auto"/>
          <w:sz w:val="32"/>
          <w:szCs w:val="32"/>
        </w:rPr>
        <w:t>(一)不同防治水平植物保护贡献率的测算</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完全不防治情况下的产量损失率减去防控条件下的产量损失率，即为不同处理植保贡献率。计算公式如(4)-(5)</w:t>
      </w:r>
    </w:p>
    <w:p>
      <w:pPr>
        <w:keepNext w:val="0"/>
        <w:keepLines w:val="0"/>
        <w:pageBreakBefore w:val="0"/>
        <w:widowControl w:val="0"/>
        <w:kinsoku/>
        <w:wordWrap/>
        <w:overflowPunct/>
        <w:topLinePunct w:val="0"/>
        <w:autoSpaceDE/>
        <w:autoSpaceDN/>
        <w:bidi w:val="0"/>
        <w:adjustRightInd/>
        <w:snapToGrid w:val="0"/>
        <w:spacing w:line="560" w:lineRule="exact"/>
        <w:ind w:firstLine="641"/>
        <w:jc w:val="left"/>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贡献率(%)=完全不防治处理产量损失率-实际防控处理的产量损失率………………………………………………(4)</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不同防治水平植物保护贡献率还可以用下公式计算:</w:t>
      </w:r>
    </w:p>
    <w:p>
      <w:pPr>
        <w:keepNext w:val="0"/>
        <w:keepLines w:val="0"/>
        <w:pageBreakBefore w:val="0"/>
        <w:widowControl w:val="0"/>
        <w:kinsoku/>
        <w:wordWrap/>
        <w:overflowPunct/>
        <w:topLinePunct w:val="0"/>
        <w:autoSpaceDE/>
        <w:autoSpaceDN/>
        <w:bidi w:val="0"/>
        <w:adjustRightInd/>
        <w:snapToGrid w:val="0"/>
        <w:spacing w:line="560" w:lineRule="exact"/>
        <w:ind w:firstLine="641"/>
        <w:jc w:val="left"/>
        <w:textAlignment w:val="auto"/>
        <w:rPr>
          <w:rFonts w:ascii="楷体_GB2312" w:hAnsi="楷体_GB2312" w:eastAsia="楷体_GB2312" w:cs="楷体_GB2312"/>
          <w:color w:val="auto"/>
          <w:sz w:val="32"/>
          <w:szCs w:val="32"/>
        </w:rPr>
      </w:pPr>
      <w:r>
        <w:rPr>
          <w:rFonts w:ascii="楷体_GB2312" w:hAnsi="楷体_GB2312" w:eastAsia="楷体_GB2312" w:cs="楷体_GB2312"/>
          <w:color w:val="auto"/>
          <w:sz w:val="32"/>
          <w:szCs w:val="32"/>
        </w:rPr>
        <w:t>贡献率(%)=[(不同防治处理区单产-完全不防治区单产)/严格防治区单产]×100………………………………(5)</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楷体_GB2312" w:cs="Times New Roman"/>
          <w:b/>
          <w:bCs/>
          <w:color w:val="auto"/>
          <w:sz w:val="32"/>
          <w:szCs w:val="32"/>
        </w:rPr>
      </w:pPr>
      <w:r>
        <w:rPr>
          <w:rFonts w:ascii="Times New Roman" w:hAnsi="Times New Roman" w:eastAsia="楷体_GB2312" w:cs="Times New Roman"/>
          <w:b/>
          <w:bCs/>
          <w:color w:val="auto"/>
          <w:sz w:val="32"/>
          <w:szCs w:val="32"/>
        </w:rPr>
        <w:t>(二)调查明确不同防治类型的面积与占比</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开展植保贡献率测算，首先要调查明确所辖区域内病虫害的发生与防治类型分布情况，明确所辖区域内病虫害的发生面积大小。本试验按照严格防治区、统防统治区、农户自防区为代表类型，统计其面积占比，为加权平均测算病虫害造成的产量损失率和防控植保贡献率做好准备。</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楷体_GB2312" w:cs="Times New Roman"/>
          <w:b/>
          <w:bCs/>
          <w:color w:val="auto"/>
          <w:sz w:val="32"/>
          <w:szCs w:val="32"/>
        </w:rPr>
      </w:pPr>
      <w:r>
        <w:rPr>
          <w:rFonts w:ascii="Times New Roman" w:hAnsi="Times New Roman" w:eastAsia="楷体_GB2312" w:cs="Times New Roman"/>
          <w:b/>
          <w:bCs/>
          <w:color w:val="auto"/>
          <w:sz w:val="32"/>
          <w:szCs w:val="32"/>
        </w:rPr>
        <w:t>(三)不同地域范围植保贡献率测算方法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在当前生产中，一般需要分别计算县级、市级、省级和全国的植保贡献率。本试验具体测算办法如下:</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县域范围的植保贡献率测算。根据不同生态区病虫害发生程度、分布状况和防治情况调查数据，结合代表区域植保贡献率测算结果，采用加权平均的办法测算县域植保贡献率。其算法如公式(6)。数据记录表见表1。</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县域植保贡献率(%)=∑{[(不同防治力度处理单产-完全不防治单产)/严格防治单产]×不同发生程度面积占种植面积的比)×100………………………………………(6)</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(2)市(地)级范围的植保贡献率测算。参考县域范围的植保贡献率的测算方法进行，也可依据所辖各县的植保贡献率结果，加权平均测算。</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省域范围的植保贡献率测算。参考县域植保贡献率的计算方法，利用各个试点不同防治处理的平均单产进行计算，也可以在县域测算结果的基础上，选择有代表性的5-10个县加权平均测算省域植保贡献率。其算法如公式(7)。数据记录表见表 2。</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省域植保贡献率（%）=∑｛[(不同防治力度处理平均单产-完全不防治平均单产)/严格防治平均单产]×不同发生程度面积占种植面积的比｝×100…………………………(7)</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（4）全国（分作物）植保贡献率的测算方法。采用全国各省的贡献率结果加权平均计算，也可以选择有代表性的重点省份，用加权平均的办法测算全国的植保贡献率。其算法如公式。数据记录表见表 3。</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 xml:space="preserve">  某作物全国植保贡献率（%）=∑（省域植保贡献率×该省种植面积占统计总种植面积的比例）</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全国农作物病虫害防控总体植保贡献率的测算方法，采用有关主要作物全国的植保贡献率测算结果与各作物种植面积占全国农作物（如粮食）总面积的比例，加权平均进行计算。其算法如公式（9）。数据记录表见表4。</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全国总的植保贡献率（%）=∑（某作物全国植保贡献率×该作物全国种植面积占全国农作物总面积的比例）…（9）。</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四、评价工作要求</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楷体_GB2312" w:cs="Times New Roman"/>
          <w:b/>
          <w:bCs/>
          <w:color w:val="auto"/>
          <w:sz w:val="32"/>
          <w:szCs w:val="32"/>
        </w:rPr>
        <w:t>（一）合理安排试验站点。</w:t>
      </w:r>
      <w:r>
        <w:rPr>
          <w:rFonts w:ascii="Times New Roman" w:hAnsi="Times New Roman" w:eastAsia="仿宋_GB2312" w:cs="Times New Roman"/>
          <w:color w:val="auto"/>
          <w:sz w:val="32"/>
          <w:szCs w:val="32"/>
        </w:rPr>
        <w:t>各省要安排有代表性、有条件的单位承担试验评价工作，提前确定试验区域、地块和小区设置。要从播种开始就着手安排试验，避免因试验安排偏晚造成部分内容难以落实的问题，保证测试结果的客观性。</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楷体_GB2312" w:cs="Times New Roman"/>
          <w:b/>
          <w:bCs/>
          <w:color w:val="auto"/>
          <w:sz w:val="32"/>
          <w:szCs w:val="32"/>
        </w:rPr>
        <w:t>（二）科学开展抽样调查。</w:t>
      </w:r>
      <w:r>
        <w:rPr>
          <w:rFonts w:ascii="Times New Roman" w:hAnsi="Times New Roman" w:eastAsia="仿宋_GB2312" w:cs="Times New Roman"/>
          <w:color w:val="auto"/>
          <w:sz w:val="32"/>
          <w:szCs w:val="32"/>
        </w:rPr>
        <w:t>在试验明确不同防控水平的产量水平、挽回损失和植保贡献率的基础上，要科学抽样，确定各防控水平的面积占比，并加权平均计算本地区的防控植保贡献率，不得简单平均。</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楷体_GB2312" w:cs="Times New Roman"/>
          <w:b/>
          <w:bCs/>
          <w:color w:val="auto"/>
          <w:sz w:val="32"/>
          <w:szCs w:val="32"/>
        </w:rPr>
        <w:t>（三）不断规范评价工作。</w:t>
      </w:r>
      <w:r>
        <w:rPr>
          <w:rFonts w:ascii="Times New Roman" w:hAnsi="Times New Roman" w:eastAsia="仿宋_GB2312" w:cs="Times New Roman"/>
          <w:color w:val="auto"/>
          <w:sz w:val="32"/>
          <w:szCs w:val="32"/>
        </w:rPr>
        <w:t>要逐步将主要农作物病虫害植保贡献率评价纳入正常工作范围，以客观数据反映植保工作在保障国家粮食安全中的重要作用。要不断实践，逐步规范，建立适合本辖区的植保贡献率评价办法，不断提高评价结果的科学性。</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楷体_GB2312" w:cs="Times New Roman"/>
          <w:b/>
          <w:bCs/>
          <w:color w:val="auto"/>
          <w:sz w:val="32"/>
          <w:szCs w:val="32"/>
        </w:rPr>
        <w:t>（四）及时报送评价结果。</w:t>
      </w:r>
      <w:r>
        <w:rPr>
          <w:rFonts w:ascii="Times New Roman" w:hAnsi="Times New Roman" w:eastAsia="仿宋_GB2312" w:cs="Times New Roman"/>
          <w:color w:val="auto"/>
          <w:sz w:val="32"/>
          <w:szCs w:val="32"/>
        </w:rPr>
        <w:t>全国农技中心根据作物和地域代表性，每年选择部分重点省份承担全国评价试验和数据采集工作，具体任务每年初以工作函形式下发。各省植保机构要在每年小麦，水稻、玉米等作物收获后，分别于6月30日和11月20日前将本省主要作物病虫害防控植保贡献率评价结果报告报送全国农技中心。</w:t>
      </w:r>
    </w:p>
    <w:p>
      <w:pPr>
        <w:pStyle w:val="2"/>
        <w:rPr>
          <w:color w:val="auto"/>
        </w:rPr>
      </w:pPr>
    </w:p>
    <w:p>
      <w:pPr>
        <w:jc w:val="center"/>
        <w:rPr>
          <w:rFonts w:ascii="黑体" w:hAnsi="黑体" w:eastAsia="黑体"/>
          <w:color w:val="auto"/>
          <w:szCs w:val="21"/>
        </w:rPr>
      </w:pPr>
    </w:p>
    <w:p>
      <w:pPr>
        <w:jc w:val="center"/>
        <w:rPr>
          <w:rFonts w:ascii="黑体" w:hAnsi="黑体" w:eastAsia="黑体"/>
          <w:color w:val="auto"/>
          <w:szCs w:val="21"/>
        </w:rPr>
      </w:pPr>
      <w:r>
        <w:rPr>
          <w:rFonts w:hint="eastAsia" w:ascii="黑体" w:hAnsi="黑体" w:eastAsia="黑体"/>
          <w:color w:val="auto"/>
          <w:szCs w:val="21"/>
        </w:rPr>
        <w:t>表</w:t>
      </w:r>
      <w:r>
        <w:rPr>
          <w:rFonts w:eastAsia="黑体"/>
          <w:color w:val="auto"/>
          <w:szCs w:val="21"/>
        </w:rPr>
        <w:t>1</w:t>
      </w:r>
      <w:r>
        <w:rPr>
          <w:rFonts w:hint="eastAsia" w:ascii="黑体" w:hAnsi="黑体" w:eastAsia="黑体"/>
          <w:color w:val="auto"/>
          <w:szCs w:val="21"/>
        </w:rPr>
        <w:t xml:space="preserve"> **县**作物病虫草害防控植保贡献率评价试验记录表</w:t>
      </w:r>
    </w:p>
    <w:tbl>
      <w:tblPr>
        <w:tblStyle w:val="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4"/>
        <w:gridCol w:w="694"/>
        <w:gridCol w:w="1122"/>
        <w:gridCol w:w="798"/>
        <w:gridCol w:w="798"/>
        <w:gridCol w:w="1057"/>
        <w:gridCol w:w="734"/>
        <w:gridCol w:w="968"/>
        <w:gridCol w:w="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086" w:type="pct"/>
            <w:noWrap/>
            <w:vAlign w:val="center"/>
          </w:tcPr>
          <w:p>
            <w:pPr>
              <w:spacing w:line="300" w:lineRule="atLeast"/>
              <w:ind w:firstLine="14"/>
              <w:jc w:val="center"/>
              <w:rPr>
                <w:rFonts w:ascii="宋体" w:hAnsi="宋体"/>
                <w:color w:val="auto"/>
                <w:kern w:val="0"/>
                <w:szCs w:val="21"/>
              </w:rPr>
            </w:pPr>
            <w:r>
              <w:rPr>
                <w:rFonts w:ascii="宋体" w:hAnsi="宋体"/>
                <w:color w:val="auto"/>
                <w:kern w:val="0"/>
                <w:szCs w:val="21"/>
              </w:rPr>
              <w:t>试验</w:t>
            </w:r>
            <w:r>
              <w:rPr>
                <w:rFonts w:hint="eastAsia" w:ascii="宋体" w:hAnsi="宋体"/>
                <w:color w:val="auto"/>
                <w:kern w:val="0"/>
                <w:szCs w:val="21"/>
              </w:rPr>
              <w:t>处理</w:t>
            </w:r>
          </w:p>
        </w:tc>
        <w:tc>
          <w:tcPr>
            <w:tcW w:w="388" w:type="pct"/>
            <w:noWrap/>
            <w:vAlign w:val="center"/>
          </w:tcPr>
          <w:p>
            <w:pPr>
              <w:spacing w:line="300" w:lineRule="atLeast"/>
              <w:ind w:left="-78" w:leftChars="-37"/>
              <w:jc w:val="center"/>
              <w:rPr>
                <w:color w:val="auto"/>
                <w:kern w:val="0"/>
                <w:szCs w:val="21"/>
              </w:rPr>
            </w:pPr>
            <w:r>
              <w:rPr>
                <w:color w:val="auto"/>
                <w:kern w:val="0"/>
                <w:szCs w:val="21"/>
              </w:rPr>
              <w:t>发生程度</w:t>
            </w:r>
          </w:p>
        </w:tc>
        <w:tc>
          <w:tcPr>
            <w:tcW w:w="627" w:type="pct"/>
            <w:noWrap/>
            <w:vAlign w:val="center"/>
          </w:tcPr>
          <w:p>
            <w:pPr>
              <w:spacing w:line="300" w:lineRule="atLeast"/>
              <w:jc w:val="center"/>
              <w:rPr>
                <w:color w:val="auto"/>
                <w:kern w:val="0"/>
                <w:szCs w:val="21"/>
              </w:rPr>
            </w:pPr>
            <w:r>
              <w:rPr>
                <w:color w:val="auto"/>
                <w:kern w:val="0"/>
                <w:szCs w:val="21"/>
              </w:rPr>
              <w:t>平均单产</w:t>
            </w:r>
          </w:p>
          <w:p>
            <w:pPr>
              <w:spacing w:line="300" w:lineRule="atLeast"/>
              <w:jc w:val="center"/>
              <w:rPr>
                <w:color w:val="auto"/>
                <w:kern w:val="0"/>
                <w:szCs w:val="21"/>
              </w:rPr>
            </w:pPr>
            <w:r>
              <w:rPr>
                <w:color w:val="auto"/>
                <w:kern w:val="0"/>
                <w:szCs w:val="21"/>
              </w:rPr>
              <w:t>（kg/亩）</w:t>
            </w:r>
          </w:p>
        </w:tc>
        <w:tc>
          <w:tcPr>
            <w:tcW w:w="446" w:type="pct"/>
            <w:noWrap/>
            <w:vAlign w:val="center"/>
          </w:tcPr>
          <w:p>
            <w:pPr>
              <w:spacing w:line="300" w:lineRule="atLeast"/>
              <w:ind w:hanging="48"/>
              <w:jc w:val="center"/>
              <w:rPr>
                <w:color w:val="auto"/>
                <w:kern w:val="0"/>
                <w:szCs w:val="21"/>
              </w:rPr>
            </w:pPr>
            <w:r>
              <w:rPr>
                <w:color w:val="auto"/>
                <w:kern w:val="0"/>
                <w:szCs w:val="21"/>
              </w:rPr>
              <w:t>挽回</w:t>
            </w:r>
          </w:p>
          <w:p>
            <w:pPr>
              <w:spacing w:line="300" w:lineRule="atLeast"/>
              <w:ind w:hanging="48"/>
              <w:jc w:val="center"/>
              <w:rPr>
                <w:color w:val="auto"/>
                <w:kern w:val="0"/>
                <w:szCs w:val="21"/>
              </w:rPr>
            </w:pPr>
            <w:r>
              <w:rPr>
                <w:color w:val="auto"/>
                <w:kern w:val="0"/>
                <w:szCs w:val="21"/>
              </w:rPr>
              <w:t>损失率</w:t>
            </w:r>
          </w:p>
          <w:p>
            <w:pPr>
              <w:spacing w:line="300" w:lineRule="atLeast"/>
              <w:ind w:hanging="48"/>
              <w:jc w:val="center"/>
              <w:rPr>
                <w:color w:val="auto"/>
                <w:kern w:val="0"/>
                <w:szCs w:val="21"/>
              </w:rPr>
            </w:pPr>
            <w:r>
              <w:rPr>
                <w:color w:val="auto"/>
                <w:kern w:val="0"/>
                <w:szCs w:val="21"/>
              </w:rPr>
              <w:t>（%）</w:t>
            </w:r>
          </w:p>
        </w:tc>
        <w:tc>
          <w:tcPr>
            <w:tcW w:w="446" w:type="pct"/>
            <w:noWrap/>
            <w:vAlign w:val="center"/>
          </w:tcPr>
          <w:p>
            <w:pPr>
              <w:spacing w:line="300" w:lineRule="atLeast"/>
              <w:ind w:hanging="48"/>
              <w:jc w:val="center"/>
              <w:rPr>
                <w:color w:val="auto"/>
                <w:kern w:val="0"/>
                <w:szCs w:val="21"/>
              </w:rPr>
            </w:pPr>
            <w:r>
              <w:rPr>
                <w:color w:val="auto"/>
                <w:kern w:val="0"/>
                <w:szCs w:val="21"/>
              </w:rPr>
              <w:t>损失率</w:t>
            </w:r>
          </w:p>
          <w:p>
            <w:pPr>
              <w:spacing w:line="300" w:lineRule="atLeast"/>
              <w:ind w:hanging="48"/>
              <w:jc w:val="center"/>
              <w:rPr>
                <w:color w:val="auto"/>
                <w:kern w:val="0"/>
                <w:szCs w:val="21"/>
              </w:rPr>
            </w:pPr>
            <w:r>
              <w:rPr>
                <w:color w:val="auto"/>
                <w:kern w:val="0"/>
                <w:szCs w:val="21"/>
              </w:rPr>
              <w:t>（%）</w:t>
            </w:r>
          </w:p>
        </w:tc>
        <w:tc>
          <w:tcPr>
            <w:tcW w:w="590" w:type="pct"/>
            <w:noWrap/>
            <w:vAlign w:val="center"/>
          </w:tcPr>
          <w:p>
            <w:pPr>
              <w:spacing w:line="300" w:lineRule="atLeast"/>
              <w:ind w:left="-4" w:leftChars="-15" w:right="-21" w:rightChars="-10" w:hanging="27" w:hangingChars="13"/>
              <w:jc w:val="center"/>
              <w:rPr>
                <w:color w:val="auto"/>
                <w:kern w:val="0"/>
                <w:szCs w:val="21"/>
              </w:rPr>
            </w:pPr>
            <w:r>
              <w:rPr>
                <w:color w:val="auto"/>
                <w:kern w:val="0"/>
                <w:szCs w:val="21"/>
              </w:rPr>
              <w:t>代表</w:t>
            </w:r>
          </w:p>
          <w:p>
            <w:pPr>
              <w:spacing w:line="300" w:lineRule="atLeast"/>
              <w:ind w:left="-4" w:leftChars="-15" w:right="-21" w:rightChars="-10" w:hanging="27" w:hangingChars="13"/>
              <w:jc w:val="center"/>
              <w:rPr>
                <w:color w:val="auto"/>
                <w:kern w:val="0"/>
                <w:szCs w:val="21"/>
              </w:rPr>
            </w:pPr>
            <w:r>
              <w:rPr>
                <w:color w:val="auto"/>
                <w:kern w:val="0"/>
                <w:szCs w:val="21"/>
              </w:rPr>
              <w:t>面积</w:t>
            </w:r>
          </w:p>
          <w:p>
            <w:pPr>
              <w:spacing w:line="300" w:lineRule="atLeast"/>
              <w:jc w:val="center"/>
              <w:rPr>
                <w:color w:val="auto"/>
                <w:kern w:val="0"/>
                <w:szCs w:val="21"/>
              </w:rPr>
            </w:pPr>
            <w:r>
              <w:rPr>
                <w:color w:val="auto"/>
                <w:kern w:val="0"/>
                <w:szCs w:val="21"/>
              </w:rPr>
              <w:t>（万亩）</w:t>
            </w:r>
          </w:p>
        </w:tc>
        <w:tc>
          <w:tcPr>
            <w:tcW w:w="410" w:type="pct"/>
            <w:noWrap/>
            <w:vAlign w:val="center"/>
          </w:tcPr>
          <w:p>
            <w:pPr>
              <w:spacing w:line="300" w:lineRule="atLeast"/>
              <w:jc w:val="center"/>
              <w:rPr>
                <w:color w:val="auto"/>
                <w:kern w:val="0"/>
                <w:szCs w:val="21"/>
              </w:rPr>
            </w:pPr>
            <w:r>
              <w:rPr>
                <w:color w:val="auto"/>
                <w:kern w:val="0"/>
                <w:szCs w:val="21"/>
              </w:rPr>
              <w:t>面积</w:t>
            </w:r>
          </w:p>
          <w:p>
            <w:pPr>
              <w:spacing w:line="300" w:lineRule="atLeast"/>
              <w:jc w:val="center"/>
              <w:rPr>
                <w:color w:val="auto"/>
                <w:kern w:val="0"/>
                <w:szCs w:val="21"/>
              </w:rPr>
            </w:pPr>
            <w:r>
              <w:rPr>
                <w:color w:val="auto"/>
                <w:kern w:val="0"/>
                <w:szCs w:val="21"/>
              </w:rPr>
              <w:t>占比</w:t>
            </w:r>
          </w:p>
          <w:p>
            <w:pPr>
              <w:spacing w:line="300" w:lineRule="atLeast"/>
              <w:ind w:left="-4" w:leftChars="-15" w:right="-21" w:rightChars="-10" w:hanging="27" w:hangingChars="13"/>
              <w:jc w:val="center"/>
              <w:rPr>
                <w:color w:val="auto"/>
                <w:kern w:val="0"/>
                <w:szCs w:val="21"/>
              </w:rPr>
            </w:pPr>
            <w:r>
              <w:rPr>
                <w:color w:val="auto"/>
                <w:kern w:val="0"/>
                <w:szCs w:val="21"/>
              </w:rPr>
              <w:t>（%）</w:t>
            </w:r>
          </w:p>
        </w:tc>
        <w:tc>
          <w:tcPr>
            <w:tcW w:w="541" w:type="pct"/>
            <w:noWrap/>
            <w:vAlign w:val="center"/>
          </w:tcPr>
          <w:p>
            <w:pPr>
              <w:spacing w:line="300" w:lineRule="atLeast"/>
              <w:jc w:val="center"/>
              <w:rPr>
                <w:color w:val="auto"/>
                <w:kern w:val="0"/>
                <w:szCs w:val="21"/>
              </w:rPr>
            </w:pPr>
            <w:r>
              <w:rPr>
                <w:color w:val="auto"/>
                <w:kern w:val="0"/>
                <w:szCs w:val="21"/>
              </w:rPr>
              <w:t>防控</w:t>
            </w:r>
          </w:p>
          <w:p>
            <w:pPr>
              <w:spacing w:line="300" w:lineRule="atLeast"/>
              <w:jc w:val="center"/>
              <w:rPr>
                <w:color w:val="auto"/>
                <w:kern w:val="0"/>
                <w:szCs w:val="21"/>
              </w:rPr>
            </w:pPr>
            <w:r>
              <w:rPr>
                <w:color w:val="auto"/>
                <w:kern w:val="0"/>
                <w:szCs w:val="21"/>
              </w:rPr>
              <w:t>贡献率（%）</w:t>
            </w:r>
          </w:p>
        </w:tc>
        <w:tc>
          <w:tcPr>
            <w:tcW w:w="462" w:type="pct"/>
            <w:noWrap/>
          </w:tcPr>
          <w:p>
            <w:pPr>
              <w:spacing w:line="300" w:lineRule="atLeast"/>
              <w:jc w:val="center"/>
              <w:rPr>
                <w:color w:val="auto"/>
                <w:kern w:val="0"/>
                <w:szCs w:val="21"/>
              </w:rPr>
            </w:pPr>
            <w:r>
              <w:rPr>
                <w:color w:val="auto"/>
                <w:kern w:val="0"/>
                <w:szCs w:val="21"/>
              </w:rPr>
              <w:t>平均</w:t>
            </w:r>
          </w:p>
          <w:p>
            <w:pPr>
              <w:spacing w:line="300" w:lineRule="atLeast"/>
              <w:jc w:val="center"/>
              <w:rPr>
                <w:color w:val="auto"/>
                <w:kern w:val="0"/>
                <w:szCs w:val="21"/>
              </w:rPr>
            </w:pPr>
            <w:r>
              <w:rPr>
                <w:color w:val="auto"/>
                <w:kern w:val="0"/>
                <w:szCs w:val="21"/>
              </w:rPr>
              <w:t>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86" w:type="pct"/>
            <w:noWrap/>
            <w:vAlign w:val="center"/>
          </w:tcPr>
          <w:p>
            <w:pPr>
              <w:spacing w:line="300" w:lineRule="atLeast"/>
              <w:jc w:val="center"/>
              <w:rPr>
                <w:rFonts w:ascii="宋体" w:hAnsi="宋体"/>
                <w:color w:val="auto"/>
                <w:kern w:val="0"/>
                <w:szCs w:val="21"/>
              </w:rPr>
            </w:pPr>
            <w:r>
              <w:rPr>
                <w:rFonts w:hint="eastAsia" w:ascii="宋体" w:hAnsi="宋体"/>
                <w:color w:val="auto"/>
                <w:kern w:val="0"/>
                <w:szCs w:val="21"/>
              </w:rPr>
              <w:t>严格防治</w:t>
            </w:r>
          </w:p>
        </w:tc>
        <w:tc>
          <w:tcPr>
            <w:tcW w:w="388" w:type="pct"/>
            <w:noWrap/>
            <w:vAlign w:val="center"/>
          </w:tcPr>
          <w:p>
            <w:pPr>
              <w:widowControl/>
              <w:spacing w:line="300" w:lineRule="atLeast"/>
              <w:ind w:firstLine="200"/>
              <w:jc w:val="center"/>
              <w:rPr>
                <w:rFonts w:ascii="宋体" w:hAnsi="宋体"/>
                <w:color w:val="auto"/>
                <w:szCs w:val="21"/>
              </w:rPr>
            </w:pPr>
          </w:p>
        </w:tc>
        <w:tc>
          <w:tcPr>
            <w:tcW w:w="627"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590" w:type="pct"/>
            <w:noWrap/>
            <w:vAlign w:val="center"/>
          </w:tcPr>
          <w:p>
            <w:pPr>
              <w:spacing w:line="300" w:lineRule="atLeast"/>
              <w:ind w:firstLine="200"/>
              <w:jc w:val="center"/>
              <w:rPr>
                <w:rFonts w:ascii="宋体" w:hAnsi="宋体"/>
                <w:color w:val="auto"/>
                <w:szCs w:val="21"/>
              </w:rPr>
            </w:pPr>
          </w:p>
        </w:tc>
        <w:tc>
          <w:tcPr>
            <w:tcW w:w="410" w:type="pct"/>
            <w:noWrap/>
            <w:vAlign w:val="center"/>
          </w:tcPr>
          <w:p>
            <w:pPr>
              <w:spacing w:line="300" w:lineRule="atLeast"/>
              <w:ind w:firstLine="200"/>
              <w:jc w:val="center"/>
              <w:rPr>
                <w:rFonts w:ascii="宋体" w:hAnsi="宋体"/>
                <w:color w:val="auto"/>
                <w:szCs w:val="21"/>
              </w:rPr>
            </w:pPr>
          </w:p>
        </w:tc>
        <w:tc>
          <w:tcPr>
            <w:tcW w:w="541" w:type="pct"/>
            <w:noWrap/>
            <w:vAlign w:val="center"/>
          </w:tcPr>
          <w:p>
            <w:pPr>
              <w:spacing w:line="300" w:lineRule="atLeast"/>
              <w:ind w:firstLine="200"/>
              <w:jc w:val="center"/>
              <w:rPr>
                <w:rFonts w:ascii="宋体" w:hAnsi="宋体"/>
                <w:color w:val="auto"/>
                <w:szCs w:val="21"/>
              </w:rPr>
            </w:pPr>
          </w:p>
        </w:tc>
        <w:tc>
          <w:tcPr>
            <w:tcW w:w="462" w:type="pct"/>
            <w:vMerge w:val="restart"/>
            <w:noWrap/>
          </w:tcPr>
          <w:p>
            <w:pPr>
              <w:spacing w:line="300" w:lineRule="atLeas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86" w:type="pct"/>
            <w:noWrap/>
            <w:vAlign w:val="center"/>
          </w:tcPr>
          <w:p>
            <w:pPr>
              <w:spacing w:line="300" w:lineRule="atLeast"/>
              <w:jc w:val="center"/>
              <w:rPr>
                <w:rFonts w:ascii="宋体" w:hAnsi="宋体"/>
                <w:color w:val="auto"/>
                <w:kern w:val="0"/>
                <w:szCs w:val="21"/>
              </w:rPr>
            </w:pPr>
            <w:r>
              <w:rPr>
                <w:rFonts w:hint="eastAsia" w:ascii="宋体" w:hAnsi="宋体"/>
                <w:color w:val="auto"/>
                <w:kern w:val="0"/>
                <w:szCs w:val="21"/>
              </w:rPr>
              <w:t>统防统治</w:t>
            </w:r>
          </w:p>
        </w:tc>
        <w:tc>
          <w:tcPr>
            <w:tcW w:w="388" w:type="pct"/>
            <w:noWrap/>
            <w:vAlign w:val="center"/>
          </w:tcPr>
          <w:p>
            <w:pPr>
              <w:spacing w:line="300" w:lineRule="atLeast"/>
              <w:ind w:firstLine="200"/>
              <w:jc w:val="center"/>
              <w:rPr>
                <w:rFonts w:ascii="宋体" w:hAnsi="宋体"/>
                <w:color w:val="auto"/>
                <w:szCs w:val="21"/>
              </w:rPr>
            </w:pPr>
          </w:p>
        </w:tc>
        <w:tc>
          <w:tcPr>
            <w:tcW w:w="627"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590" w:type="pct"/>
            <w:noWrap/>
            <w:vAlign w:val="center"/>
          </w:tcPr>
          <w:p>
            <w:pPr>
              <w:spacing w:line="300" w:lineRule="atLeast"/>
              <w:ind w:firstLine="200"/>
              <w:jc w:val="center"/>
              <w:rPr>
                <w:rFonts w:ascii="宋体" w:hAnsi="宋体"/>
                <w:color w:val="auto"/>
                <w:szCs w:val="21"/>
              </w:rPr>
            </w:pPr>
          </w:p>
        </w:tc>
        <w:tc>
          <w:tcPr>
            <w:tcW w:w="410" w:type="pct"/>
            <w:noWrap/>
          </w:tcPr>
          <w:p>
            <w:pPr>
              <w:spacing w:line="300" w:lineRule="atLeast"/>
              <w:ind w:firstLine="200"/>
              <w:jc w:val="center"/>
              <w:rPr>
                <w:rFonts w:ascii="宋体" w:hAnsi="宋体"/>
                <w:color w:val="auto"/>
                <w:szCs w:val="21"/>
              </w:rPr>
            </w:pPr>
          </w:p>
        </w:tc>
        <w:tc>
          <w:tcPr>
            <w:tcW w:w="541" w:type="pct"/>
            <w:noWrap/>
          </w:tcPr>
          <w:p>
            <w:pPr>
              <w:spacing w:line="300" w:lineRule="atLeast"/>
              <w:ind w:firstLine="200"/>
              <w:jc w:val="center"/>
              <w:rPr>
                <w:rFonts w:ascii="宋体" w:hAnsi="宋体"/>
                <w:color w:val="auto"/>
                <w:szCs w:val="21"/>
              </w:rPr>
            </w:pPr>
          </w:p>
        </w:tc>
        <w:tc>
          <w:tcPr>
            <w:tcW w:w="462" w:type="pct"/>
            <w:vMerge w:val="continue"/>
            <w:noWrap/>
          </w:tcPr>
          <w:p>
            <w:pPr>
              <w:spacing w:line="300" w:lineRule="atLeas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86" w:type="pct"/>
            <w:noWrap/>
            <w:vAlign w:val="center"/>
          </w:tcPr>
          <w:p>
            <w:pPr>
              <w:spacing w:line="300" w:lineRule="atLeast"/>
              <w:jc w:val="center"/>
              <w:rPr>
                <w:rFonts w:ascii="宋体" w:hAnsi="宋体"/>
                <w:color w:val="auto"/>
                <w:kern w:val="0"/>
                <w:szCs w:val="21"/>
              </w:rPr>
            </w:pPr>
            <w:r>
              <w:rPr>
                <w:rFonts w:hint="eastAsia" w:ascii="宋体" w:hAnsi="宋体"/>
                <w:color w:val="auto"/>
                <w:kern w:val="0"/>
                <w:szCs w:val="21"/>
              </w:rPr>
              <w:t>农户</w:t>
            </w:r>
            <w:r>
              <w:rPr>
                <w:rFonts w:ascii="宋体" w:hAnsi="宋体"/>
                <w:color w:val="auto"/>
                <w:kern w:val="0"/>
                <w:szCs w:val="21"/>
              </w:rPr>
              <w:t>自防</w:t>
            </w:r>
          </w:p>
        </w:tc>
        <w:tc>
          <w:tcPr>
            <w:tcW w:w="388" w:type="pct"/>
            <w:noWrap/>
            <w:vAlign w:val="center"/>
          </w:tcPr>
          <w:p>
            <w:pPr>
              <w:spacing w:line="300" w:lineRule="atLeast"/>
              <w:ind w:firstLine="200"/>
              <w:jc w:val="center"/>
              <w:rPr>
                <w:rFonts w:ascii="宋体" w:hAnsi="宋体"/>
                <w:color w:val="auto"/>
                <w:szCs w:val="21"/>
              </w:rPr>
            </w:pPr>
          </w:p>
        </w:tc>
        <w:tc>
          <w:tcPr>
            <w:tcW w:w="627"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590" w:type="pct"/>
            <w:noWrap/>
            <w:vAlign w:val="center"/>
          </w:tcPr>
          <w:p>
            <w:pPr>
              <w:spacing w:line="300" w:lineRule="atLeast"/>
              <w:ind w:firstLine="200"/>
              <w:jc w:val="center"/>
              <w:rPr>
                <w:rFonts w:ascii="宋体" w:hAnsi="宋体"/>
                <w:color w:val="auto"/>
                <w:szCs w:val="21"/>
              </w:rPr>
            </w:pPr>
          </w:p>
        </w:tc>
        <w:tc>
          <w:tcPr>
            <w:tcW w:w="410" w:type="pct"/>
            <w:noWrap/>
          </w:tcPr>
          <w:p>
            <w:pPr>
              <w:spacing w:line="300" w:lineRule="atLeast"/>
              <w:ind w:firstLine="200"/>
              <w:jc w:val="center"/>
              <w:rPr>
                <w:rFonts w:ascii="宋体" w:hAnsi="宋体"/>
                <w:color w:val="auto"/>
                <w:szCs w:val="21"/>
              </w:rPr>
            </w:pPr>
          </w:p>
        </w:tc>
        <w:tc>
          <w:tcPr>
            <w:tcW w:w="541" w:type="pct"/>
            <w:noWrap/>
          </w:tcPr>
          <w:p>
            <w:pPr>
              <w:spacing w:line="300" w:lineRule="atLeast"/>
              <w:ind w:firstLine="200"/>
              <w:jc w:val="center"/>
              <w:rPr>
                <w:rFonts w:ascii="宋体" w:hAnsi="宋体"/>
                <w:color w:val="auto"/>
                <w:szCs w:val="21"/>
              </w:rPr>
            </w:pPr>
          </w:p>
        </w:tc>
        <w:tc>
          <w:tcPr>
            <w:tcW w:w="462" w:type="pct"/>
            <w:vMerge w:val="continue"/>
            <w:noWrap/>
          </w:tcPr>
          <w:p>
            <w:pPr>
              <w:spacing w:line="300" w:lineRule="atLeas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86" w:type="pct"/>
            <w:noWrap/>
            <w:vAlign w:val="center"/>
          </w:tcPr>
          <w:p>
            <w:pPr>
              <w:spacing w:line="300" w:lineRule="atLeast"/>
              <w:jc w:val="center"/>
              <w:rPr>
                <w:rFonts w:ascii="宋体" w:hAnsi="宋体"/>
                <w:color w:val="auto"/>
                <w:kern w:val="0"/>
                <w:szCs w:val="21"/>
              </w:rPr>
            </w:pPr>
            <w:r>
              <w:rPr>
                <w:rFonts w:hint="eastAsia" w:ascii="宋体" w:hAnsi="宋体"/>
                <w:color w:val="auto"/>
                <w:kern w:val="0"/>
                <w:szCs w:val="21"/>
              </w:rPr>
              <w:t>其他处理</w:t>
            </w:r>
          </w:p>
        </w:tc>
        <w:tc>
          <w:tcPr>
            <w:tcW w:w="388" w:type="pct"/>
            <w:noWrap/>
            <w:vAlign w:val="center"/>
          </w:tcPr>
          <w:p>
            <w:pPr>
              <w:spacing w:line="300" w:lineRule="atLeast"/>
              <w:ind w:firstLine="200"/>
              <w:jc w:val="center"/>
              <w:rPr>
                <w:rFonts w:ascii="宋体" w:hAnsi="宋体"/>
                <w:color w:val="auto"/>
                <w:szCs w:val="21"/>
              </w:rPr>
            </w:pPr>
          </w:p>
        </w:tc>
        <w:tc>
          <w:tcPr>
            <w:tcW w:w="627"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590" w:type="pct"/>
            <w:noWrap/>
            <w:vAlign w:val="center"/>
          </w:tcPr>
          <w:p>
            <w:pPr>
              <w:spacing w:line="300" w:lineRule="atLeast"/>
              <w:ind w:firstLine="200"/>
              <w:jc w:val="center"/>
              <w:rPr>
                <w:rFonts w:ascii="宋体" w:hAnsi="宋体"/>
                <w:color w:val="auto"/>
                <w:szCs w:val="21"/>
              </w:rPr>
            </w:pPr>
          </w:p>
        </w:tc>
        <w:tc>
          <w:tcPr>
            <w:tcW w:w="410" w:type="pct"/>
            <w:noWrap/>
          </w:tcPr>
          <w:p>
            <w:pPr>
              <w:spacing w:line="300" w:lineRule="atLeast"/>
              <w:ind w:firstLine="200"/>
              <w:jc w:val="center"/>
              <w:rPr>
                <w:rFonts w:ascii="宋体" w:hAnsi="宋体"/>
                <w:color w:val="auto"/>
                <w:szCs w:val="21"/>
              </w:rPr>
            </w:pPr>
          </w:p>
        </w:tc>
        <w:tc>
          <w:tcPr>
            <w:tcW w:w="541" w:type="pct"/>
            <w:noWrap/>
          </w:tcPr>
          <w:p>
            <w:pPr>
              <w:spacing w:line="300" w:lineRule="atLeast"/>
              <w:ind w:firstLine="200"/>
              <w:jc w:val="center"/>
              <w:rPr>
                <w:rFonts w:ascii="宋体" w:hAnsi="宋体"/>
                <w:color w:val="auto"/>
                <w:szCs w:val="21"/>
              </w:rPr>
            </w:pPr>
          </w:p>
        </w:tc>
        <w:tc>
          <w:tcPr>
            <w:tcW w:w="462" w:type="pct"/>
            <w:vMerge w:val="continue"/>
            <w:noWrap/>
          </w:tcPr>
          <w:p>
            <w:pPr>
              <w:spacing w:line="300" w:lineRule="atLeas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86" w:type="pct"/>
            <w:noWrap/>
            <w:vAlign w:val="center"/>
          </w:tcPr>
          <w:p>
            <w:pPr>
              <w:spacing w:line="300" w:lineRule="atLeast"/>
              <w:jc w:val="center"/>
              <w:rPr>
                <w:rFonts w:ascii="宋体" w:hAnsi="宋体"/>
                <w:color w:val="auto"/>
                <w:kern w:val="0"/>
                <w:szCs w:val="21"/>
              </w:rPr>
            </w:pPr>
            <w:r>
              <w:rPr>
                <w:rFonts w:hint="eastAsia" w:ascii="宋体" w:hAnsi="宋体"/>
                <w:color w:val="auto"/>
                <w:kern w:val="0"/>
                <w:szCs w:val="21"/>
              </w:rPr>
              <w:t>完全不防病虫害</w:t>
            </w:r>
          </w:p>
        </w:tc>
        <w:tc>
          <w:tcPr>
            <w:tcW w:w="388" w:type="pct"/>
            <w:noWrap/>
            <w:vAlign w:val="center"/>
          </w:tcPr>
          <w:p>
            <w:pPr>
              <w:spacing w:line="300" w:lineRule="atLeast"/>
              <w:ind w:firstLine="200"/>
              <w:jc w:val="center"/>
              <w:rPr>
                <w:rFonts w:ascii="宋体" w:hAnsi="宋体"/>
                <w:color w:val="auto"/>
                <w:szCs w:val="21"/>
              </w:rPr>
            </w:pPr>
          </w:p>
        </w:tc>
        <w:tc>
          <w:tcPr>
            <w:tcW w:w="627"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590" w:type="pct"/>
            <w:noWrap/>
            <w:vAlign w:val="center"/>
          </w:tcPr>
          <w:p>
            <w:pPr>
              <w:spacing w:line="300" w:lineRule="atLeast"/>
              <w:ind w:firstLine="200"/>
              <w:jc w:val="center"/>
              <w:rPr>
                <w:rFonts w:ascii="宋体" w:hAnsi="宋体"/>
                <w:color w:val="auto"/>
                <w:szCs w:val="21"/>
              </w:rPr>
            </w:pPr>
          </w:p>
        </w:tc>
        <w:tc>
          <w:tcPr>
            <w:tcW w:w="410" w:type="pct"/>
            <w:noWrap/>
          </w:tcPr>
          <w:p>
            <w:pPr>
              <w:spacing w:line="300" w:lineRule="atLeast"/>
              <w:ind w:firstLine="200"/>
              <w:jc w:val="center"/>
              <w:rPr>
                <w:rFonts w:ascii="宋体" w:hAnsi="宋体"/>
                <w:color w:val="auto"/>
                <w:szCs w:val="21"/>
              </w:rPr>
            </w:pPr>
          </w:p>
        </w:tc>
        <w:tc>
          <w:tcPr>
            <w:tcW w:w="541" w:type="pct"/>
            <w:noWrap/>
          </w:tcPr>
          <w:p>
            <w:pPr>
              <w:spacing w:line="300" w:lineRule="atLeast"/>
              <w:ind w:firstLine="200"/>
              <w:jc w:val="center"/>
              <w:rPr>
                <w:rFonts w:ascii="宋体" w:hAnsi="宋体"/>
                <w:color w:val="auto"/>
                <w:szCs w:val="21"/>
              </w:rPr>
            </w:pPr>
          </w:p>
        </w:tc>
        <w:tc>
          <w:tcPr>
            <w:tcW w:w="462" w:type="pct"/>
            <w:vMerge w:val="continue"/>
            <w:noWrap/>
          </w:tcPr>
          <w:p>
            <w:pPr>
              <w:spacing w:line="300" w:lineRule="atLeas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86" w:type="pct"/>
            <w:noWrap/>
            <w:vAlign w:val="center"/>
          </w:tcPr>
          <w:p>
            <w:pPr>
              <w:spacing w:line="300" w:lineRule="atLeast"/>
              <w:jc w:val="center"/>
              <w:rPr>
                <w:rFonts w:ascii="宋体" w:hAnsi="宋体"/>
                <w:color w:val="auto"/>
                <w:kern w:val="0"/>
                <w:szCs w:val="21"/>
              </w:rPr>
            </w:pPr>
            <w:r>
              <w:rPr>
                <w:rFonts w:hint="eastAsia" w:ascii="宋体" w:hAnsi="宋体"/>
                <w:color w:val="auto"/>
                <w:kern w:val="0"/>
                <w:szCs w:val="21"/>
              </w:rPr>
              <w:t>完全不防病虫草害</w:t>
            </w:r>
          </w:p>
        </w:tc>
        <w:tc>
          <w:tcPr>
            <w:tcW w:w="388" w:type="pct"/>
            <w:noWrap/>
            <w:vAlign w:val="center"/>
          </w:tcPr>
          <w:p>
            <w:pPr>
              <w:spacing w:line="300" w:lineRule="atLeast"/>
              <w:ind w:firstLine="200"/>
              <w:jc w:val="center"/>
              <w:rPr>
                <w:rFonts w:ascii="宋体" w:hAnsi="宋体"/>
                <w:color w:val="auto"/>
                <w:szCs w:val="21"/>
              </w:rPr>
            </w:pPr>
          </w:p>
        </w:tc>
        <w:tc>
          <w:tcPr>
            <w:tcW w:w="627"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ind w:firstLine="200"/>
              <w:jc w:val="center"/>
              <w:rPr>
                <w:rFonts w:ascii="宋体" w:hAnsi="宋体"/>
                <w:color w:val="auto"/>
                <w:szCs w:val="21"/>
              </w:rPr>
            </w:pPr>
          </w:p>
        </w:tc>
        <w:tc>
          <w:tcPr>
            <w:tcW w:w="446" w:type="pct"/>
            <w:noWrap/>
            <w:vAlign w:val="center"/>
          </w:tcPr>
          <w:p>
            <w:pPr>
              <w:spacing w:line="300" w:lineRule="atLeast"/>
              <w:jc w:val="center"/>
              <w:rPr>
                <w:rFonts w:ascii="宋体" w:hAnsi="宋体"/>
                <w:color w:val="auto"/>
                <w:szCs w:val="21"/>
              </w:rPr>
            </w:pPr>
          </w:p>
        </w:tc>
        <w:tc>
          <w:tcPr>
            <w:tcW w:w="590" w:type="pct"/>
            <w:noWrap/>
            <w:vAlign w:val="center"/>
          </w:tcPr>
          <w:p>
            <w:pPr>
              <w:spacing w:line="300" w:lineRule="atLeast"/>
              <w:ind w:firstLine="200"/>
              <w:jc w:val="center"/>
              <w:rPr>
                <w:rFonts w:ascii="宋体" w:hAnsi="宋体"/>
                <w:color w:val="auto"/>
                <w:szCs w:val="21"/>
              </w:rPr>
            </w:pPr>
          </w:p>
        </w:tc>
        <w:tc>
          <w:tcPr>
            <w:tcW w:w="410" w:type="pct"/>
            <w:noWrap/>
          </w:tcPr>
          <w:p>
            <w:pPr>
              <w:spacing w:line="300" w:lineRule="atLeast"/>
              <w:ind w:firstLine="200"/>
              <w:jc w:val="center"/>
              <w:rPr>
                <w:rFonts w:ascii="宋体" w:hAnsi="宋体"/>
                <w:color w:val="auto"/>
                <w:szCs w:val="21"/>
              </w:rPr>
            </w:pPr>
          </w:p>
        </w:tc>
        <w:tc>
          <w:tcPr>
            <w:tcW w:w="541" w:type="pct"/>
            <w:noWrap/>
          </w:tcPr>
          <w:p>
            <w:pPr>
              <w:spacing w:line="300" w:lineRule="atLeast"/>
              <w:ind w:firstLine="200"/>
              <w:jc w:val="center"/>
              <w:rPr>
                <w:rFonts w:ascii="宋体" w:hAnsi="宋体"/>
                <w:color w:val="auto"/>
                <w:szCs w:val="21"/>
              </w:rPr>
            </w:pPr>
          </w:p>
        </w:tc>
        <w:tc>
          <w:tcPr>
            <w:tcW w:w="462" w:type="pct"/>
            <w:vMerge w:val="continue"/>
            <w:noWrap/>
          </w:tcPr>
          <w:p>
            <w:pPr>
              <w:spacing w:line="300" w:lineRule="atLeast"/>
              <w:ind w:firstLine="200"/>
              <w:jc w:val="center"/>
              <w:rPr>
                <w:rFonts w:ascii="宋体" w:hAnsi="宋体"/>
                <w:color w:val="auto"/>
                <w:szCs w:val="21"/>
              </w:rPr>
            </w:pPr>
          </w:p>
        </w:tc>
      </w:tr>
    </w:tbl>
    <w:p>
      <w:pPr>
        <w:spacing w:line="480" w:lineRule="exact"/>
        <w:ind w:firstLine="420" w:firstLineChars="200"/>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注：此表可根据试验处理和调查实际情况调整。</w:t>
      </w:r>
    </w:p>
    <w:p>
      <w:pPr>
        <w:rPr>
          <w:rFonts w:eastAsia="仿宋_GB2312"/>
          <w:color w:val="auto"/>
          <w:sz w:val="32"/>
          <w:szCs w:val="20"/>
        </w:rPr>
      </w:pPr>
    </w:p>
    <w:p>
      <w:pPr>
        <w:pStyle w:val="2"/>
      </w:pPr>
    </w:p>
    <w:p>
      <w:pPr>
        <w:pStyle w:val="2"/>
      </w:pPr>
    </w:p>
    <w:p>
      <w:pPr>
        <w:jc w:val="center"/>
        <w:rPr>
          <w:rFonts w:ascii="黑体" w:hAnsi="黑体" w:eastAsia="黑体"/>
          <w:color w:val="auto"/>
          <w:szCs w:val="21"/>
        </w:rPr>
      </w:pPr>
      <w:r>
        <w:rPr>
          <w:rFonts w:hint="eastAsia" w:ascii="黑体" w:hAnsi="黑体" w:eastAsia="黑体"/>
          <w:color w:val="auto"/>
          <w:szCs w:val="21"/>
        </w:rPr>
        <w:t>表</w:t>
      </w:r>
      <w:r>
        <w:rPr>
          <w:rFonts w:eastAsia="黑体"/>
          <w:color w:val="auto"/>
          <w:szCs w:val="21"/>
        </w:rPr>
        <w:t>2</w:t>
      </w:r>
      <w:r>
        <w:rPr>
          <w:rFonts w:hint="eastAsia" w:ascii="黑体" w:hAnsi="黑体" w:eastAsia="黑体"/>
          <w:color w:val="auto"/>
          <w:szCs w:val="21"/>
        </w:rPr>
        <w:t xml:space="preserve">  **省**作物病虫草害防控植保贡献率评价试验结果</w:t>
      </w:r>
    </w:p>
    <w:tbl>
      <w:tblPr>
        <w:tblStyle w:val="4"/>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673"/>
        <w:gridCol w:w="1122"/>
        <w:gridCol w:w="798"/>
        <w:gridCol w:w="804"/>
        <w:gridCol w:w="904"/>
        <w:gridCol w:w="1418"/>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noWrap/>
            <w:vAlign w:val="center"/>
          </w:tcPr>
          <w:p>
            <w:pPr>
              <w:spacing w:line="300" w:lineRule="exact"/>
              <w:ind w:firstLine="105" w:firstLineChars="50"/>
              <w:jc w:val="center"/>
              <w:rPr>
                <w:rFonts w:ascii="宋体" w:hAnsi="宋体"/>
                <w:color w:val="auto"/>
                <w:kern w:val="0"/>
                <w:szCs w:val="21"/>
              </w:rPr>
            </w:pPr>
            <w:r>
              <w:rPr>
                <w:rFonts w:ascii="宋体" w:hAnsi="宋体"/>
                <w:color w:val="auto"/>
                <w:kern w:val="0"/>
                <w:szCs w:val="21"/>
              </w:rPr>
              <w:t>试验</w:t>
            </w:r>
            <w:r>
              <w:rPr>
                <w:rFonts w:hint="eastAsia" w:ascii="宋体" w:hAnsi="宋体"/>
                <w:color w:val="auto"/>
                <w:kern w:val="0"/>
                <w:szCs w:val="21"/>
              </w:rPr>
              <w:t>处理</w:t>
            </w:r>
          </w:p>
        </w:tc>
        <w:tc>
          <w:tcPr>
            <w:tcW w:w="449" w:type="pct"/>
            <w:noWrap/>
            <w:vAlign w:val="center"/>
          </w:tcPr>
          <w:p>
            <w:pPr>
              <w:spacing w:line="300" w:lineRule="exact"/>
              <w:ind w:left="-78" w:leftChars="-37"/>
              <w:jc w:val="center"/>
              <w:rPr>
                <w:rFonts w:ascii="宋体" w:hAnsi="宋体"/>
                <w:color w:val="auto"/>
                <w:kern w:val="0"/>
                <w:szCs w:val="21"/>
              </w:rPr>
            </w:pPr>
            <w:r>
              <w:rPr>
                <w:rFonts w:hint="eastAsia" w:ascii="宋体" w:hAnsi="宋体"/>
                <w:color w:val="auto"/>
                <w:kern w:val="0"/>
                <w:szCs w:val="21"/>
              </w:rPr>
              <w:t>发生</w:t>
            </w:r>
          </w:p>
          <w:p>
            <w:pPr>
              <w:spacing w:line="300" w:lineRule="exact"/>
              <w:ind w:left="-78" w:leftChars="-37"/>
              <w:jc w:val="center"/>
              <w:rPr>
                <w:rFonts w:ascii="宋体" w:hAnsi="宋体"/>
                <w:color w:val="auto"/>
                <w:kern w:val="0"/>
                <w:szCs w:val="21"/>
              </w:rPr>
            </w:pPr>
            <w:r>
              <w:rPr>
                <w:rFonts w:hint="eastAsia" w:ascii="宋体" w:hAnsi="宋体"/>
                <w:color w:val="auto"/>
                <w:kern w:val="0"/>
                <w:szCs w:val="21"/>
              </w:rPr>
              <w:t>程度</w:t>
            </w:r>
          </w:p>
        </w:tc>
        <w:tc>
          <w:tcPr>
            <w:tcW w:w="639" w:type="pct"/>
            <w:noWrap/>
            <w:vAlign w:val="center"/>
          </w:tcPr>
          <w:p>
            <w:pPr>
              <w:spacing w:line="300" w:lineRule="exact"/>
              <w:jc w:val="center"/>
              <w:rPr>
                <w:color w:val="auto"/>
                <w:kern w:val="0"/>
                <w:szCs w:val="21"/>
              </w:rPr>
            </w:pPr>
            <w:r>
              <w:rPr>
                <w:color w:val="auto"/>
                <w:kern w:val="0"/>
                <w:szCs w:val="21"/>
              </w:rPr>
              <w:t>平均单产</w:t>
            </w:r>
          </w:p>
          <w:p>
            <w:pPr>
              <w:spacing w:line="300" w:lineRule="exact"/>
              <w:jc w:val="center"/>
              <w:rPr>
                <w:color w:val="auto"/>
                <w:kern w:val="0"/>
                <w:szCs w:val="21"/>
              </w:rPr>
            </w:pPr>
            <w:r>
              <w:rPr>
                <w:color w:val="auto"/>
                <w:kern w:val="0"/>
                <w:szCs w:val="21"/>
              </w:rPr>
              <w:t>（kg/亩）</w:t>
            </w:r>
          </w:p>
        </w:tc>
        <w:tc>
          <w:tcPr>
            <w:tcW w:w="557" w:type="pct"/>
            <w:noWrap/>
            <w:vAlign w:val="center"/>
          </w:tcPr>
          <w:p>
            <w:pPr>
              <w:spacing w:line="300" w:lineRule="exact"/>
              <w:ind w:hanging="48"/>
              <w:jc w:val="center"/>
              <w:rPr>
                <w:color w:val="auto"/>
                <w:kern w:val="0"/>
                <w:szCs w:val="21"/>
              </w:rPr>
            </w:pPr>
            <w:r>
              <w:rPr>
                <w:color w:val="auto"/>
                <w:kern w:val="0"/>
                <w:szCs w:val="21"/>
              </w:rPr>
              <w:t>挽回</w:t>
            </w:r>
          </w:p>
          <w:p>
            <w:pPr>
              <w:spacing w:line="300" w:lineRule="exact"/>
              <w:ind w:hanging="48"/>
              <w:jc w:val="center"/>
              <w:rPr>
                <w:color w:val="auto"/>
                <w:kern w:val="0"/>
                <w:szCs w:val="21"/>
              </w:rPr>
            </w:pPr>
            <w:r>
              <w:rPr>
                <w:color w:val="auto"/>
                <w:kern w:val="0"/>
                <w:szCs w:val="21"/>
              </w:rPr>
              <w:t>损失率</w:t>
            </w:r>
          </w:p>
          <w:p>
            <w:pPr>
              <w:spacing w:line="300" w:lineRule="exact"/>
              <w:ind w:hanging="48"/>
              <w:jc w:val="center"/>
              <w:rPr>
                <w:color w:val="auto"/>
                <w:kern w:val="0"/>
                <w:szCs w:val="21"/>
              </w:rPr>
            </w:pPr>
            <w:r>
              <w:rPr>
                <w:color w:val="auto"/>
                <w:kern w:val="0"/>
                <w:szCs w:val="21"/>
              </w:rPr>
              <w:t>（%）</w:t>
            </w:r>
          </w:p>
        </w:tc>
        <w:tc>
          <w:tcPr>
            <w:tcW w:w="544" w:type="pct"/>
            <w:noWrap/>
            <w:vAlign w:val="center"/>
          </w:tcPr>
          <w:p>
            <w:pPr>
              <w:spacing w:line="300" w:lineRule="exact"/>
              <w:ind w:left="-273" w:leftChars="-130" w:firstLine="168" w:firstLineChars="80"/>
              <w:jc w:val="center"/>
              <w:rPr>
                <w:color w:val="auto"/>
                <w:kern w:val="0"/>
                <w:szCs w:val="21"/>
              </w:rPr>
            </w:pPr>
            <w:r>
              <w:rPr>
                <w:color w:val="auto"/>
                <w:kern w:val="0"/>
                <w:szCs w:val="21"/>
              </w:rPr>
              <w:t>损失率</w:t>
            </w:r>
          </w:p>
          <w:p>
            <w:pPr>
              <w:spacing w:line="300" w:lineRule="exact"/>
              <w:jc w:val="center"/>
              <w:rPr>
                <w:color w:val="auto"/>
                <w:kern w:val="0"/>
                <w:szCs w:val="21"/>
              </w:rPr>
            </w:pPr>
            <w:r>
              <w:rPr>
                <w:color w:val="auto"/>
                <w:kern w:val="0"/>
                <w:szCs w:val="21"/>
              </w:rPr>
              <w:t>（%）</w:t>
            </w:r>
          </w:p>
        </w:tc>
        <w:tc>
          <w:tcPr>
            <w:tcW w:w="578" w:type="pct"/>
            <w:noWrap/>
            <w:vAlign w:val="center"/>
          </w:tcPr>
          <w:p>
            <w:pPr>
              <w:spacing w:line="300" w:lineRule="exact"/>
              <w:ind w:left="-107" w:leftChars="-51"/>
              <w:jc w:val="center"/>
              <w:rPr>
                <w:color w:val="auto"/>
                <w:kern w:val="0"/>
                <w:szCs w:val="21"/>
              </w:rPr>
            </w:pPr>
            <w:r>
              <w:rPr>
                <w:color w:val="auto"/>
                <w:kern w:val="0"/>
                <w:szCs w:val="21"/>
              </w:rPr>
              <w:t>面积</w:t>
            </w:r>
          </w:p>
          <w:p>
            <w:pPr>
              <w:spacing w:line="300" w:lineRule="exact"/>
              <w:ind w:left="-107" w:leftChars="-51"/>
              <w:jc w:val="center"/>
              <w:rPr>
                <w:color w:val="auto"/>
                <w:kern w:val="0"/>
                <w:szCs w:val="21"/>
              </w:rPr>
            </w:pPr>
            <w:r>
              <w:rPr>
                <w:color w:val="auto"/>
                <w:kern w:val="0"/>
                <w:szCs w:val="21"/>
              </w:rPr>
              <w:t>占比</w:t>
            </w:r>
          </w:p>
          <w:p>
            <w:pPr>
              <w:spacing w:line="300" w:lineRule="exact"/>
              <w:jc w:val="center"/>
              <w:rPr>
                <w:color w:val="auto"/>
                <w:kern w:val="0"/>
                <w:szCs w:val="21"/>
              </w:rPr>
            </w:pPr>
            <w:r>
              <w:rPr>
                <w:color w:val="auto"/>
                <w:kern w:val="0"/>
                <w:szCs w:val="21"/>
              </w:rPr>
              <w:t>（%）</w:t>
            </w:r>
          </w:p>
        </w:tc>
        <w:tc>
          <w:tcPr>
            <w:tcW w:w="581" w:type="pct"/>
            <w:noWrap/>
            <w:vAlign w:val="center"/>
          </w:tcPr>
          <w:p>
            <w:pPr>
              <w:spacing w:line="300" w:lineRule="atLeast"/>
              <w:jc w:val="center"/>
              <w:rPr>
                <w:color w:val="auto"/>
                <w:kern w:val="0"/>
                <w:szCs w:val="21"/>
              </w:rPr>
            </w:pPr>
            <w:r>
              <w:rPr>
                <w:color w:val="auto"/>
                <w:kern w:val="0"/>
                <w:szCs w:val="21"/>
              </w:rPr>
              <w:t>防控</w:t>
            </w:r>
          </w:p>
          <w:p>
            <w:pPr>
              <w:spacing w:line="300" w:lineRule="atLeast"/>
              <w:jc w:val="center"/>
              <w:rPr>
                <w:color w:val="auto"/>
                <w:kern w:val="0"/>
                <w:szCs w:val="21"/>
              </w:rPr>
            </w:pPr>
            <w:r>
              <w:rPr>
                <w:color w:val="auto"/>
                <w:kern w:val="0"/>
                <w:szCs w:val="21"/>
              </w:rPr>
              <w:t>贡献率（%）</w:t>
            </w:r>
          </w:p>
        </w:tc>
        <w:tc>
          <w:tcPr>
            <w:tcW w:w="504" w:type="pct"/>
            <w:noWrap/>
            <w:vAlign w:val="center"/>
          </w:tcPr>
          <w:p>
            <w:pPr>
              <w:spacing w:line="300" w:lineRule="exact"/>
              <w:ind w:left="-107" w:leftChars="-51"/>
              <w:jc w:val="center"/>
              <w:rPr>
                <w:color w:val="auto"/>
                <w:kern w:val="0"/>
                <w:szCs w:val="21"/>
              </w:rPr>
            </w:pPr>
            <w:r>
              <w:rPr>
                <w:color w:val="auto"/>
                <w:kern w:val="0"/>
                <w:szCs w:val="21"/>
              </w:rPr>
              <w:t>平均</w:t>
            </w:r>
          </w:p>
          <w:p>
            <w:pPr>
              <w:spacing w:line="300" w:lineRule="exact"/>
              <w:ind w:left="-107" w:leftChars="-51"/>
              <w:jc w:val="center"/>
              <w:rPr>
                <w:color w:val="auto"/>
                <w:kern w:val="0"/>
                <w:szCs w:val="21"/>
              </w:rPr>
            </w:pPr>
            <w:r>
              <w:rPr>
                <w:color w:val="auto"/>
                <w:kern w:val="0"/>
                <w:szCs w:val="21"/>
              </w:rPr>
              <w:t>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46" w:type="pct"/>
            <w:noWrap/>
            <w:vAlign w:val="center"/>
          </w:tcPr>
          <w:p>
            <w:pPr>
              <w:spacing w:line="400" w:lineRule="exact"/>
              <w:jc w:val="center"/>
              <w:rPr>
                <w:rFonts w:ascii="宋体" w:hAnsi="宋体"/>
                <w:color w:val="auto"/>
                <w:kern w:val="0"/>
                <w:szCs w:val="21"/>
              </w:rPr>
            </w:pPr>
            <w:r>
              <w:rPr>
                <w:rFonts w:hint="eastAsia" w:ascii="宋体" w:hAnsi="宋体"/>
                <w:color w:val="auto"/>
                <w:kern w:val="0"/>
                <w:szCs w:val="21"/>
              </w:rPr>
              <w:t>严格防治</w:t>
            </w:r>
          </w:p>
        </w:tc>
        <w:tc>
          <w:tcPr>
            <w:tcW w:w="449" w:type="pct"/>
            <w:noWrap/>
            <w:vAlign w:val="center"/>
          </w:tcPr>
          <w:p>
            <w:pPr>
              <w:widowControl/>
              <w:spacing w:line="400" w:lineRule="exact"/>
              <w:jc w:val="center"/>
              <w:rPr>
                <w:rFonts w:ascii="宋体" w:hAnsi="宋体"/>
                <w:color w:val="auto"/>
                <w:szCs w:val="21"/>
              </w:rPr>
            </w:pPr>
          </w:p>
        </w:tc>
        <w:tc>
          <w:tcPr>
            <w:tcW w:w="639" w:type="pct"/>
            <w:noWrap/>
            <w:vAlign w:val="center"/>
          </w:tcPr>
          <w:p>
            <w:pPr>
              <w:spacing w:line="400" w:lineRule="exact"/>
              <w:jc w:val="center"/>
              <w:rPr>
                <w:rFonts w:ascii="宋体" w:hAnsi="宋体"/>
                <w:color w:val="auto"/>
                <w:szCs w:val="21"/>
              </w:rPr>
            </w:pPr>
          </w:p>
        </w:tc>
        <w:tc>
          <w:tcPr>
            <w:tcW w:w="557" w:type="pct"/>
            <w:noWrap/>
            <w:vAlign w:val="center"/>
          </w:tcPr>
          <w:p>
            <w:pPr>
              <w:spacing w:line="400" w:lineRule="exact"/>
              <w:ind w:firstLine="200"/>
              <w:jc w:val="center"/>
              <w:rPr>
                <w:rFonts w:ascii="宋体" w:hAnsi="宋体"/>
                <w:color w:val="auto"/>
                <w:szCs w:val="21"/>
              </w:rPr>
            </w:pPr>
          </w:p>
        </w:tc>
        <w:tc>
          <w:tcPr>
            <w:tcW w:w="544" w:type="pct"/>
            <w:noWrap/>
            <w:vAlign w:val="center"/>
          </w:tcPr>
          <w:p>
            <w:pPr>
              <w:spacing w:line="400" w:lineRule="exact"/>
              <w:ind w:leftChars="-10" w:hanging="21" w:hangingChars="10"/>
              <w:jc w:val="center"/>
              <w:rPr>
                <w:rFonts w:ascii="宋体" w:hAnsi="宋体"/>
                <w:color w:val="auto"/>
                <w:szCs w:val="21"/>
              </w:rPr>
            </w:pPr>
          </w:p>
        </w:tc>
        <w:tc>
          <w:tcPr>
            <w:tcW w:w="578" w:type="pct"/>
            <w:noWrap/>
            <w:vAlign w:val="center"/>
          </w:tcPr>
          <w:p>
            <w:pPr>
              <w:spacing w:line="400" w:lineRule="exact"/>
              <w:jc w:val="center"/>
              <w:rPr>
                <w:rFonts w:ascii="宋体" w:hAnsi="宋体"/>
                <w:color w:val="auto"/>
                <w:szCs w:val="21"/>
              </w:rPr>
            </w:pPr>
          </w:p>
        </w:tc>
        <w:tc>
          <w:tcPr>
            <w:tcW w:w="581" w:type="pct"/>
            <w:noWrap/>
            <w:vAlign w:val="center"/>
          </w:tcPr>
          <w:p>
            <w:pPr>
              <w:spacing w:line="300" w:lineRule="atLeast"/>
              <w:ind w:firstLine="200"/>
              <w:jc w:val="center"/>
              <w:rPr>
                <w:rFonts w:ascii="宋体" w:hAnsi="宋体"/>
                <w:color w:val="auto"/>
                <w:szCs w:val="21"/>
              </w:rPr>
            </w:pPr>
          </w:p>
        </w:tc>
        <w:tc>
          <w:tcPr>
            <w:tcW w:w="504" w:type="pct"/>
            <w:vMerge w:val="restart"/>
            <w:noWrap/>
            <w:vAlign w:val="center"/>
          </w:tcPr>
          <w:p>
            <w:pPr>
              <w:spacing w:line="400" w:lineRule="exac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46" w:type="pct"/>
            <w:noWrap/>
            <w:vAlign w:val="center"/>
          </w:tcPr>
          <w:p>
            <w:pPr>
              <w:spacing w:line="400" w:lineRule="exact"/>
              <w:jc w:val="center"/>
              <w:rPr>
                <w:rFonts w:ascii="宋体" w:hAnsi="宋体"/>
                <w:color w:val="auto"/>
                <w:kern w:val="0"/>
                <w:szCs w:val="21"/>
              </w:rPr>
            </w:pPr>
            <w:r>
              <w:rPr>
                <w:rFonts w:hint="eastAsia" w:ascii="宋体" w:hAnsi="宋体"/>
                <w:color w:val="auto"/>
                <w:kern w:val="0"/>
                <w:szCs w:val="21"/>
              </w:rPr>
              <w:t>统防统治</w:t>
            </w:r>
          </w:p>
        </w:tc>
        <w:tc>
          <w:tcPr>
            <w:tcW w:w="449" w:type="pct"/>
            <w:noWrap/>
            <w:vAlign w:val="center"/>
          </w:tcPr>
          <w:p>
            <w:pPr>
              <w:spacing w:line="400" w:lineRule="exact"/>
              <w:jc w:val="center"/>
              <w:rPr>
                <w:rFonts w:ascii="宋体" w:hAnsi="宋体"/>
                <w:color w:val="auto"/>
                <w:szCs w:val="21"/>
              </w:rPr>
            </w:pPr>
          </w:p>
        </w:tc>
        <w:tc>
          <w:tcPr>
            <w:tcW w:w="639" w:type="pct"/>
            <w:noWrap/>
            <w:vAlign w:val="center"/>
          </w:tcPr>
          <w:p>
            <w:pPr>
              <w:spacing w:line="400" w:lineRule="exact"/>
              <w:jc w:val="center"/>
              <w:rPr>
                <w:rFonts w:ascii="宋体" w:hAnsi="宋体"/>
                <w:color w:val="auto"/>
                <w:szCs w:val="21"/>
              </w:rPr>
            </w:pPr>
          </w:p>
        </w:tc>
        <w:tc>
          <w:tcPr>
            <w:tcW w:w="557" w:type="pct"/>
            <w:noWrap/>
            <w:vAlign w:val="center"/>
          </w:tcPr>
          <w:p>
            <w:pPr>
              <w:spacing w:line="400" w:lineRule="exact"/>
              <w:ind w:firstLine="200"/>
              <w:jc w:val="center"/>
              <w:rPr>
                <w:rFonts w:ascii="宋体" w:hAnsi="宋体"/>
                <w:color w:val="auto"/>
                <w:szCs w:val="21"/>
              </w:rPr>
            </w:pPr>
          </w:p>
        </w:tc>
        <w:tc>
          <w:tcPr>
            <w:tcW w:w="544" w:type="pct"/>
            <w:noWrap/>
            <w:vAlign w:val="center"/>
          </w:tcPr>
          <w:p>
            <w:pPr>
              <w:spacing w:line="400" w:lineRule="exact"/>
              <w:ind w:leftChars="-10" w:hanging="21" w:hangingChars="10"/>
              <w:jc w:val="center"/>
              <w:rPr>
                <w:rFonts w:ascii="宋体" w:hAnsi="宋体"/>
                <w:color w:val="auto"/>
                <w:szCs w:val="21"/>
              </w:rPr>
            </w:pPr>
          </w:p>
        </w:tc>
        <w:tc>
          <w:tcPr>
            <w:tcW w:w="578" w:type="pct"/>
            <w:noWrap/>
            <w:vAlign w:val="center"/>
          </w:tcPr>
          <w:p>
            <w:pPr>
              <w:spacing w:line="400" w:lineRule="exact"/>
              <w:jc w:val="center"/>
              <w:rPr>
                <w:rFonts w:ascii="宋体" w:hAnsi="宋体"/>
                <w:color w:val="auto"/>
                <w:szCs w:val="21"/>
              </w:rPr>
            </w:pPr>
          </w:p>
        </w:tc>
        <w:tc>
          <w:tcPr>
            <w:tcW w:w="581" w:type="pct"/>
            <w:noWrap/>
          </w:tcPr>
          <w:p>
            <w:pPr>
              <w:spacing w:line="300" w:lineRule="atLeast"/>
              <w:ind w:firstLine="200"/>
              <w:jc w:val="center"/>
              <w:rPr>
                <w:rFonts w:ascii="宋体" w:hAnsi="宋体"/>
                <w:color w:val="auto"/>
                <w:szCs w:val="21"/>
              </w:rPr>
            </w:pPr>
          </w:p>
        </w:tc>
        <w:tc>
          <w:tcPr>
            <w:tcW w:w="504" w:type="pct"/>
            <w:vMerge w:val="continue"/>
            <w:noWrap/>
            <w:vAlign w:val="center"/>
          </w:tcPr>
          <w:p>
            <w:pPr>
              <w:spacing w:line="400" w:lineRule="exac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46" w:type="pct"/>
            <w:noWrap/>
            <w:vAlign w:val="center"/>
          </w:tcPr>
          <w:p>
            <w:pPr>
              <w:spacing w:line="400" w:lineRule="exact"/>
              <w:jc w:val="center"/>
              <w:rPr>
                <w:rFonts w:ascii="宋体" w:hAnsi="宋体"/>
                <w:color w:val="auto"/>
                <w:kern w:val="0"/>
                <w:szCs w:val="21"/>
              </w:rPr>
            </w:pPr>
            <w:r>
              <w:rPr>
                <w:rFonts w:hint="eastAsia" w:ascii="宋体" w:hAnsi="宋体"/>
                <w:color w:val="auto"/>
                <w:kern w:val="0"/>
                <w:szCs w:val="21"/>
              </w:rPr>
              <w:t>农户</w:t>
            </w:r>
            <w:r>
              <w:rPr>
                <w:rFonts w:ascii="宋体" w:hAnsi="宋体"/>
                <w:color w:val="auto"/>
                <w:kern w:val="0"/>
                <w:szCs w:val="21"/>
              </w:rPr>
              <w:t>自防</w:t>
            </w:r>
          </w:p>
        </w:tc>
        <w:tc>
          <w:tcPr>
            <w:tcW w:w="449" w:type="pct"/>
            <w:noWrap/>
            <w:vAlign w:val="center"/>
          </w:tcPr>
          <w:p>
            <w:pPr>
              <w:spacing w:line="400" w:lineRule="exact"/>
              <w:jc w:val="center"/>
              <w:rPr>
                <w:rFonts w:ascii="宋体" w:hAnsi="宋体"/>
                <w:color w:val="auto"/>
                <w:szCs w:val="21"/>
              </w:rPr>
            </w:pPr>
          </w:p>
        </w:tc>
        <w:tc>
          <w:tcPr>
            <w:tcW w:w="639" w:type="pct"/>
            <w:noWrap/>
            <w:vAlign w:val="center"/>
          </w:tcPr>
          <w:p>
            <w:pPr>
              <w:spacing w:line="400" w:lineRule="exact"/>
              <w:jc w:val="center"/>
              <w:rPr>
                <w:rFonts w:ascii="宋体" w:hAnsi="宋体"/>
                <w:color w:val="auto"/>
                <w:szCs w:val="21"/>
              </w:rPr>
            </w:pPr>
          </w:p>
        </w:tc>
        <w:tc>
          <w:tcPr>
            <w:tcW w:w="557" w:type="pct"/>
            <w:noWrap/>
            <w:vAlign w:val="center"/>
          </w:tcPr>
          <w:p>
            <w:pPr>
              <w:spacing w:line="400" w:lineRule="exact"/>
              <w:ind w:firstLine="200"/>
              <w:jc w:val="center"/>
              <w:rPr>
                <w:rFonts w:ascii="宋体" w:hAnsi="宋体"/>
                <w:color w:val="auto"/>
                <w:szCs w:val="21"/>
              </w:rPr>
            </w:pPr>
          </w:p>
        </w:tc>
        <w:tc>
          <w:tcPr>
            <w:tcW w:w="544" w:type="pct"/>
            <w:noWrap/>
            <w:vAlign w:val="center"/>
          </w:tcPr>
          <w:p>
            <w:pPr>
              <w:spacing w:line="400" w:lineRule="exact"/>
              <w:ind w:leftChars="-10" w:hanging="21" w:hangingChars="10"/>
              <w:jc w:val="center"/>
              <w:rPr>
                <w:rFonts w:ascii="宋体" w:hAnsi="宋体"/>
                <w:color w:val="auto"/>
                <w:szCs w:val="21"/>
              </w:rPr>
            </w:pPr>
          </w:p>
        </w:tc>
        <w:tc>
          <w:tcPr>
            <w:tcW w:w="578" w:type="pct"/>
            <w:noWrap/>
            <w:vAlign w:val="center"/>
          </w:tcPr>
          <w:p>
            <w:pPr>
              <w:spacing w:line="400" w:lineRule="exact"/>
              <w:jc w:val="center"/>
              <w:rPr>
                <w:rFonts w:ascii="宋体" w:hAnsi="宋体"/>
                <w:color w:val="auto"/>
                <w:szCs w:val="21"/>
              </w:rPr>
            </w:pPr>
          </w:p>
        </w:tc>
        <w:tc>
          <w:tcPr>
            <w:tcW w:w="581" w:type="pct"/>
            <w:noWrap/>
          </w:tcPr>
          <w:p>
            <w:pPr>
              <w:spacing w:line="300" w:lineRule="atLeast"/>
              <w:ind w:firstLine="200"/>
              <w:jc w:val="center"/>
              <w:rPr>
                <w:rFonts w:ascii="宋体" w:hAnsi="宋体"/>
                <w:color w:val="auto"/>
                <w:szCs w:val="21"/>
              </w:rPr>
            </w:pPr>
          </w:p>
        </w:tc>
        <w:tc>
          <w:tcPr>
            <w:tcW w:w="504" w:type="pct"/>
            <w:vMerge w:val="continue"/>
            <w:noWrap/>
            <w:vAlign w:val="center"/>
          </w:tcPr>
          <w:p>
            <w:pPr>
              <w:spacing w:line="400" w:lineRule="exac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46" w:type="pct"/>
            <w:noWrap/>
            <w:vAlign w:val="center"/>
          </w:tcPr>
          <w:p>
            <w:pPr>
              <w:spacing w:line="400" w:lineRule="exact"/>
              <w:ind w:left="-2" w:leftChars="-3" w:hanging="4" w:hangingChars="2"/>
              <w:jc w:val="center"/>
              <w:rPr>
                <w:rFonts w:ascii="宋体" w:hAnsi="宋体"/>
                <w:color w:val="auto"/>
                <w:kern w:val="0"/>
                <w:szCs w:val="21"/>
              </w:rPr>
            </w:pPr>
            <w:r>
              <w:rPr>
                <w:rFonts w:hint="eastAsia" w:ascii="宋体" w:hAnsi="宋体"/>
                <w:color w:val="auto"/>
                <w:kern w:val="0"/>
                <w:szCs w:val="21"/>
              </w:rPr>
              <w:t>完全不防病虫害</w:t>
            </w:r>
          </w:p>
        </w:tc>
        <w:tc>
          <w:tcPr>
            <w:tcW w:w="449" w:type="pct"/>
            <w:noWrap/>
            <w:vAlign w:val="center"/>
          </w:tcPr>
          <w:p>
            <w:pPr>
              <w:spacing w:line="400" w:lineRule="exact"/>
              <w:jc w:val="center"/>
              <w:rPr>
                <w:rFonts w:ascii="宋体" w:hAnsi="宋体"/>
                <w:color w:val="auto"/>
                <w:szCs w:val="21"/>
              </w:rPr>
            </w:pPr>
          </w:p>
        </w:tc>
        <w:tc>
          <w:tcPr>
            <w:tcW w:w="639" w:type="pct"/>
            <w:noWrap/>
            <w:vAlign w:val="center"/>
          </w:tcPr>
          <w:p>
            <w:pPr>
              <w:spacing w:line="400" w:lineRule="exact"/>
              <w:jc w:val="center"/>
              <w:rPr>
                <w:rFonts w:ascii="宋体" w:hAnsi="宋体"/>
                <w:color w:val="auto"/>
                <w:szCs w:val="21"/>
              </w:rPr>
            </w:pPr>
          </w:p>
        </w:tc>
        <w:tc>
          <w:tcPr>
            <w:tcW w:w="557" w:type="pct"/>
            <w:noWrap/>
            <w:vAlign w:val="center"/>
          </w:tcPr>
          <w:p>
            <w:pPr>
              <w:spacing w:line="400" w:lineRule="exact"/>
              <w:ind w:firstLine="200"/>
              <w:jc w:val="center"/>
              <w:rPr>
                <w:rFonts w:ascii="宋体" w:hAnsi="宋体"/>
                <w:color w:val="auto"/>
                <w:szCs w:val="21"/>
              </w:rPr>
            </w:pPr>
          </w:p>
        </w:tc>
        <w:tc>
          <w:tcPr>
            <w:tcW w:w="544" w:type="pct"/>
            <w:noWrap/>
            <w:vAlign w:val="center"/>
          </w:tcPr>
          <w:p>
            <w:pPr>
              <w:spacing w:line="400" w:lineRule="exact"/>
              <w:ind w:leftChars="-10" w:hanging="21" w:hangingChars="10"/>
              <w:jc w:val="center"/>
              <w:rPr>
                <w:rFonts w:ascii="宋体" w:hAnsi="宋体"/>
                <w:color w:val="auto"/>
                <w:szCs w:val="21"/>
              </w:rPr>
            </w:pPr>
          </w:p>
        </w:tc>
        <w:tc>
          <w:tcPr>
            <w:tcW w:w="578" w:type="pct"/>
            <w:noWrap/>
            <w:vAlign w:val="center"/>
          </w:tcPr>
          <w:p>
            <w:pPr>
              <w:spacing w:line="400" w:lineRule="exact"/>
              <w:ind w:firstLine="200"/>
              <w:jc w:val="center"/>
              <w:rPr>
                <w:rFonts w:ascii="宋体" w:hAnsi="宋体"/>
                <w:color w:val="auto"/>
                <w:szCs w:val="21"/>
              </w:rPr>
            </w:pPr>
          </w:p>
        </w:tc>
        <w:tc>
          <w:tcPr>
            <w:tcW w:w="581" w:type="pct"/>
            <w:noWrap/>
          </w:tcPr>
          <w:p>
            <w:pPr>
              <w:spacing w:line="300" w:lineRule="atLeast"/>
              <w:ind w:firstLine="200"/>
              <w:jc w:val="center"/>
              <w:rPr>
                <w:rFonts w:ascii="宋体" w:hAnsi="宋体"/>
                <w:color w:val="auto"/>
                <w:szCs w:val="21"/>
              </w:rPr>
            </w:pPr>
          </w:p>
        </w:tc>
        <w:tc>
          <w:tcPr>
            <w:tcW w:w="504" w:type="pct"/>
            <w:vMerge w:val="continue"/>
            <w:noWrap/>
            <w:vAlign w:val="center"/>
          </w:tcPr>
          <w:p>
            <w:pPr>
              <w:spacing w:line="400" w:lineRule="exact"/>
              <w:ind w:firstLine="200"/>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46" w:type="pct"/>
            <w:noWrap/>
            <w:vAlign w:val="center"/>
          </w:tcPr>
          <w:p>
            <w:pPr>
              <w:spacing w:line="400" w:lineRule="exact"/>
              <w:ind w:left="-2" w:leftChars="-3" w:hanging="4" w:hangingChars="2"/>
              <w:jc w:val="center"/>
              <w:rPr>
                <w:rFonts w:ascii="宋体" w:hAnsi="宋体"/>
                <w:color w:val="auto"/>
                <w:kern w:val="0"/>
                <w:szCs w:val="21"/>
              </w:rPr>
            </w:pPr>
            <w:r>
              <w:rPr>
                <w:rFonts w:hint="eastAsia" w:ascii="宋体" w:hAnsi="宋体"/>
                <w:color w:val="auto"/>
                <w:kern w:val="0"/>
                <w:szCs w:val="21"/>
              </w:rPr>
              <w:t>完全不防病虫草害</w:t>
            </w:r>
          </w:p>
        </w:tc>
        <w:tc>
          <w:tcPr>
            <w:tcW w:w="449" w:type="pct"/>
            <w:noWrap/>
            <w:vAlign w:val="center"/>
          </w:tcPr>
          <w:p>
            <w:pPr>
              <w:spacing w:line="400" w:lineRule="exact"/>
              <w:jc w:val="center"/>
              <w:rPr>
                <w:rFonts w:ascii="宋体" w:hAnsi="宋体"/>
                <w:color w:val="auto"/>
                <w:szCs w:val="21"/>
              </w:rPr>
            </w:pPr>
          </w:p>
        </w:tc>
        <w:tc>
          <w:tcPr>
            <w:tcW w:w="639" w:type="pct"/>
            <w:noWrap/>
            <w:vAlign w:val="center"/>
          </w:tcPr>
          <w:p>
            <w:pPr>
              <w:spacing w:line="400" w:lineRule="exact"/>
              <w:jc w:val="center"/>
              <w:rPr>
                <w:rFonts w:ascii="宋体" w:hAnsi="宋体"/>
                <w:color w:val="auto"/>
                <w:szCs w:val="21"/>
              </w:rPr>
            </w:pPr>
          </w:p>
        </w:tc>
        <w:tc>
          <w:tcPr>
            <w:tcW w:w="557" w:type="pct"/>
            <w:noWrap/>
            <w:vAlign w:val="center"/>
          </w:tcPr>
          <w:p>
            <w:pPr>
              <w:spacing w:line="400" w:lineRule="exact"/>
              <w:ind w:firstLine="200"/>
              <w:jc w:val="center"/>
              <w:rPr>
                <w:rFonts w:ascii="宋体" w:hAnsi="宋体"/>
                <w:color w:val="auto"/>
                <w:szCs w:val="21"/>
              </w:rPr>
            </w:pPr>
          </w:p>
        </w:tc>
        <w:tc>
          <w:tcPr>
            <w:tcW w:w="544" w:type="pct"/>
            <w:noWrap/>
            <w:vAlign w:val="center"/>
          </w:tcPr>
          <w:p>
            <w:pPr>
              <w:spacing w:line="400" w:lineRule="exact"/>
              <w:ind w:leftChars="-10" w:hanging="21" w:hangingChars="10"/>
              <w:jc w:val="center"/>
              <w:rPr>
                <w:rFonts w:ascii="宋体" w:hAnsi="宋体"/>
                <w:color w:val="auto"/>
                <w:szCs w:val="21"/>
              </w:rPr>
            </w:pPr>
          </w:p>
        </w:tc>
        <w:tc>
          <w:tcPr>
            <w:tcW w:w="578" w:type="pct"/>
            <w:noWrap/>
            <w:vAlign w:val="center"/>
          </w:tcPr>
          <w:p>
            <w:pPr>
              <w:spacing w:line="400" w:lineRule="exact"/>
              <w:ind w:firstLine="200"/>
              <w:jc w:val="center"/>
              <w:rPr>
                <w:rFonts w:ascii="宋体" w:hAnsi="宋体"/>
                <w:color w:val="auto"/>
                <w:szCs w:val="21"/>
              </w:rPr>
            </w:pPr>
          </w:p>
        </w:tc>
        <w:tc>
          <w:tcPr>
            <w:tcW w:w="581" w:type="pct"/>
            <w:noWrap/>
          </w:tcPr>
          <w:p>
            <w:pPr>
              <w:spacing w:line="300" w:lineRule="atLeast"/>
              <w:ind w:firstLine="200"/>
              <w:jc w:val="center"/>
              <w:rPr>
                <w:rFonts w:ascii="宋体" w:hAnsi="宋体"/>
                <w:color w:val="auto"/>
                <w:szCs w:val="21"/>
              </w:rPr>
            </w:pPr>
          </w:p>
        </w:tc>
        <w:tc>
          <w:tcPr>
            <w:tcW w:w="504" w:type="pct"/>
            <w:vMerge w:val="continue"/>
            <w:noWrap/>
            <w:vAlign w:val="center"/>
          </w:tcPr>
          <w:p>
            <w:pPr>
              <w:spacing w:line="400" w:lineRule="exact"/>
              <w:ind w:firstLine="200"/>
              <w:jc w:val="center"/>
              <w:rPr>
                <w:rFonts w:ascii="宋体" w:hAnsi="宋体"/>
                <w:color w:val="auto"/>
                <w:szCs w:val="21"/>
              </w:rPr>
            </w:pPr>
          </w:p>
        </w:tc>
      </w:tr>
    </w:tbl>
    <w:p>
      <w:pPr>
        <w:spacing w:line="480" w:lineRule="exact"/>
        <w:ind w:firstLine="210" w:firstLineChars="100"/>
        <w:rPr>
          <w:rFonts w:ascii="楷体_GB2312" w:hAnsi="宋体" w:eastAsia="楷体_GB2312"/>
          <w:color w:val="auto"/>
          <w:szCs w:val="21"/>
        </w:rPr>
      </w:pPr>
      <w:r>
        <w:rPr>
          <w:rFonts w:hint="eastAsia" w:asciiTheme="minorEastAsia" w:hAnsiTheme="minorEastAsia" w:eastAsiaTheme="minorEastAsia" w:cstheme="minorEastAsia"/>
          <w:color w:val="auto"/>
          <w:szCs w:val="21"/>
        </w:rPr>
        <w:t>注：依据全省**个点调查数据，按照种植面积加权评价计算防控植保贡献率。</w:t>
      </w:r>
    </w:p>
    <w:p>
      <w:pPr>
        <w:widowControl/>
        <w:jc w:val="left"/>
        <w:rPr>
          <w:color w:val="auto"/>
        </w:rPr>
      </w:pPr>
      <w:r>
        <w:rPr>
          <w:color w:val="auto"/>
        </w:rPr>
        <w:br w:type="page"/>
      </w:r>
    </w:p>
    <w:p>
      <w:pPr>
        <w:rPr>
          <w:color w:val="auto"/>
        </w:rPr>
      </w:pPr>
    </w:p>
    <w:p>
      <w:pPr>
        <w:jc w:val="center"/>
        <w:rPr>
          <w:rFonts w:ascii="黑体" w:hAnsi="黑体" w:eastAsia="黑体"/>
          <w:color w:val="auto"/>
          <w:szCs w:val="21"/>
        </w:rPr>
      </w:pPr>
      <w:r>
        <w:rPr>
          <w:rFonts w:hint="eastAsia" w:ascii="黑体" w:hAnsi="黑体" w:eastAsia="黑体"/>
          <w:color w:val="auto"/>
          <w:szCs w:val="21"/>
        </w:rPr>
        <w:t>表</w:t>
      </w:r>
      <w:r>
        <w:rPr>
          <w:rFonts w:eastAsia="黑体"/>
          <w:color w:val="auto"/>
          <w:szCs w:val="21"/>
        </w:rPr>
        <w:t>3</w:t>
      </w:r>
      <w:r>
        <w:rPr>
          <w:rFonts w:hint="eastAsia" w:ascii="黑体" w:hAnsi="黑体" w:eastAsia="黑体"/>
          <w:color w:val="auto"/>
          <w:szCs w:val="21"/>
        </w:rPr>
        <w:t xml:space="preserve">  全国**作物病虫草害防控植保贡献率评价试验结果</w:t>
      </w:r>
    </w:p>
    <w:tbl>
      <w:tblPr>
        <w:tblStyle w:val="4"/>
        <w:tblW w:w="9073"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703"/>
        <w:gridCol w:w="707"/>
        <w:gridCol w:w="703"/>
        <w:gridCol w:w="708"/>
        <w:gridCol w:w="707"/>
        <w:gridCol w:w="708"/>
        <w:gridCol w:w="702"/>
        <w:gridCol w:w="707"/>
        <w:gridCol w:w="707"/>
        <w:gridCol w:w="840"/>
        <w:gridCol w:w="627"/>
        <w:gridCol w:w="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94" w:type="dxa"/>
            <w:vMerge w:val="restart"/>
            <w:noWrap/>
            <w:vAlign w:val="center"/>
          </w:tcPr>
          <w:p>
            <w:pPr>
              <w:spacing w:line="400" w:lineRule="exact"/>
              <w:jc w:val="center"/>
              <w:rPr>
                <w:color w:val="auto"/>
                <w:sz w:val="18"/>
                <w:szCs w:val="18"/>
              </w:rPr>
            </w:pPr>
            <w:r>
              <w:rPr>
                <w:rFonts w:hint="eastAsia"/>
                <w:color w:val="auto"/>
                <w:sz w:val="18"/>
                <w:szCs w:val="18"/>
              </w:rPr>
              <w:t>省份</w:t>
            </w:r>
          </w:p>
        </w:tc>
        <w:tc>
          <w:tcPr>
            <w:tcW w:w="2113" w:type="dxa"/>
            <w:gridSpan w:val="3"/>
            <w:noWrap/>
            <w:vAlign w:val="center"/>
          </w:tcPr>
          <w:p>
            <w:pPr>
              <w:spacing w:line="240" w:lineRule="exact"/>
              <w:jc w:val="center"/>
              <w:rPr>
                <w:color w:val="auto"/>
                <w:sz w:val="18"/>
                <w:szCs w:val="18"/>
              </w:rPr>
            </w:pPr>
            <w:r>
              <w:rPr>
                <w:color w:val="auto"/>
                <w:sz w:val="18"/>
                <w:szCs w:val="18"/>
              </w:rPr>
              <w:t>严格防控区</w:t>
            </w:r>
          </w:p>
        </w:tc>
        <w:tc>
          <w:tcPr>
            <w:tcW w:w="2123" w:type="dxa"/>
            <w:gridSpan w:val="3"/>
            <w:noWrap/>
            <w:vAlign w:val="center"/>
          </w:tcPr>
          <w:p>
            <w:pPr>
              <w:spacing w:line="240" w:lineRule="exact"/>
              <w:jc w:val="center"/>
              <w:rPr>
                <w:color w:val="auto"/>
                <w:sz w:val="18"/>
                <w:szCs w:val="18"/>
              </w:rPr>
            </w:pPr>
            <w:r>
              <w:rPr>
                <w:color w:val="auto"/>
                <w:sz w:val="18"/>
                <w:szCs w:val="18"/>
              </w:rPr>
              <w:t>统防统治区</w:t>
            </w:r>
          </w:p>
        </w:tc>
        <w:tc>
          <w:tcPr>
            <w:tcW w:w="2116" w:type="dxa"/>
            <w:gridSpan w:val="3"/>
            <w:noWrap/>
            <w:vAlign w:val="center"/>
          </w:tcPr>
          <w:p>
            <w:pPr>
              <w:spacing w:line="240" w:lineRule="exact"/>
              <w:jc w:val="center"/>
              <w:rPr>
                <w:color w:val="auto"/>
                <w:sz w:val="18"/>
                <w:szCs w:val="18"/>
              </w:rPr>
            </w:pPr>
            <w:r>
              <w:rPr>
                <w:color w:val="auto"/>
                <w:sz w:val="18"/>
                <w:szCs w:val="18"/>
              </w:rPr>
              <w:t>农户自防区</w:t>
            </w:r>
          </w:p>
        </w:tc>
        <w:tc>
          <w:tcPr>
            <w:tcW w:w="840" w:type="dxa"/>
            <w:noWrap/>
            <w:vAlign w:val="center"/>
          </w:tcPr>
          <w:p>
            <w:pPr>
              <w:spacing w:line="240" w:lineRule="exact"/>
              <w:jc w:val="center"/>
              <w:rPr>
                <w:color w:val="auto"/>
                <w:sz w:val="18"/>
                <w:szCs w:val="18"/>
              </w:rPr>
            </w:pPr>
            <w:r>
              <w:rPr>
                <w:color w:val="auto"/>
                <w:sz w:val="18"/>
                <w:szCs w:val="18"/>
              </w:rPr>
              <w:t>对照区</w:t>
            </w:r>
          </w:p>
        </w:tc>
        <w:tc>
          <w:tcPr>
            <w:tcW w:w="627" w:type="dxa"/>
            <w:vMerge w:val="restart"/>
            <w:noWrap/>
            <w:vAlign w:val="center"/>
          </w:tcPr>
          <w:p>
            <w:pPr>
              <w:spacing w:line="240" w:lineRule="exact"/>
              <w:jc w:val="center"/>
              <w:rPr>
                <w:color w:val="auto"/>
                <w:sz w:val="18"/>
                <w:szCs w:val="18"/>
              </w:rPr>
            </w:pPr>
            <w:r>
              <w:rPr>
                <w:color w:val="auto"/>
                <w:sz w:val="18"/>
                <w:szCs w:val="18"/>
              </w:rPr>
              <w:t>分省贡献率/%</w:t>
            </w:r>
          </w:p>
        </w:tc>
        <w:tc>
          <w:tcPr>
            <w:tcW w:w="560" w:type="dxa"/>
            <w:vMerge w:val="restart"/>
            <w:noWrap/>
            <w:vAlign w:val="center"/>
          </w:tcPr>
          <w:p>
            <w:pPr>
              <w:spacing w:line="240" w:lineRule="exact"/>
              <w:ind w:left="-103" w:leftChars="-49"/>
              <w:jc w:val="center"/>
              <w:rPr>
                <w:color w:val="auto"/>
                <w:sz w:val="18"/>
                <w:szCs w:val="18"/>
              </w:rPr>
            </w:pPr>
            <w:r>
              <w:rPr>
                <w:color w:val="auto"/>
                <w:sz w:val="18"/>
                <w:szCs w:val="18"/>
              </w:rPr>
              <w:t>全国防控贡献率/%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 w:type="dxa"/>
            <w:vMerge w:val="continue"/>
            <w:noWrap/>
          </w:tcPr>
          <w:p>
            <w:pPr>
              <w:spacing w:line="400" w:lineRule="exact"/>
              <w:rPr>
                <w:color w:val="auto"/>
                <w:sz w:val="18"/>
                <w:szCs w:val="18"/>
              </w:rPr>
            </w:pPr>
          </w:p>
        </w:tc>
        <w:tc>
          <w:tcPr>
            <w:tcW w:w="703" w:type="dxa"/>
            <w:noWrap/>
          </w:tcPr>
          <w:p>
            <w:pPr>
              <w:spacing w:line="240" w:lineRule="exact"/>
              <w:jc w:val="center"/>
              <w:rPr>
                <w:color w:val="auto"/>
                <w:sz w:val="18"/>
                <w:szCs w:val="18"/>
              </w:rPr>
            </w:pPr>
            <w:r>
              <w:rPr>
                <w:color w:val="auto"/>
                <w:sz w:val="18"/>
                <w:szCs w:val="18"/>
              </w:rPr>
              <w:t>平均单产kg/亩</w:t>
            </w:r>
          </w:p>
        </w:tc>
        <w:tc>
          <w:tcPr>
            <w:tcW w:w="707" w:type="dxa"/>
            <w:noWrap/>
          </w:tcPr>
          <w:p>
            <w:pPr>
              <w:spacing w:line="240" w:lineRule="exact"/>
              <w:jc w:val="center"/>
              <w:rPr>
                <w:color w:val="auto"/>
                <w:sz w:val="18"/>
                <w:szCs w:val="18"/>
              </w:rPr>
            </w:pPr>
            <w:r>
              <w:rPr>
                <w:color w:val="auto"/>
                <w:sz w:val="18"/>
                <w:szCs w:val="18"/>
              </w:rPr>
              <w:t>挽回损失/%</w:t>
            </w:r>
          </w:p>
        </w:tc>
        <w:tc>
          <w:tcPr>
            <w:tcW w:w="703" w:type="dxa"/>
            <w:noWrap/>
          </w:tcPr>
          <w:p>
            <w:pPr>
              <w:spacing w:line="240" w:lineRule="exact"/>
              <w:jc w:val="center"/>
              <w:rPr>
                <w:color w:val="auto"/>
                <w:sz w:val="18"/>
                <w:szCs w:val="18"/>
              </w:rPr>
            </w:pPr>
            <w:r>
              <w:rPr>
                <w:color w:val="auto"/>
                <w:sz w:val="18"/>
                <w:szCs w:val="18"/>
              </w:rPr>
              <w:t>面积占比/%</w:t>
            </w:r>
          </w:p>
        </w:tc>
        <w:tc>
          <w:tcPr>
            <w:tcW w:w="708" w:type="dxa"/>
            <w:noWrap/>
          </w:tcPr>
          <w:p>
            <w:pPr>
              <w:spacing w:line="240" w:lineRule="exact"/>
              <w:jc w:val="center"/>
              <w:rPr>
                <w:color w:val="auto"/>
                <w:sz w:val="18"/>
                <w:szCs w:val="18"/>
              </w:rPr>
            </w:pPr>
            <w:r>
              <w:rPr>
                <w:color w:val="auto"/>
                <w:sz w:val="18"/>
                <w:szCs w:val="18"/>
              </w:rPr>
              <w:t>平均单产kg/亩</w:t>
            </w:r>
          </w:p>
        </w:tc>
        <w:tc>
          <w:tcPr>
            <w:tcW w:w="707" w:type="dxa"/>
            <w:noWrap/>
          </w:tcPr>
          <w:p>
            <w:pPr>
              <w:spacing w:line="240" w:lineRule="exact"/>
              <w:jc w:val="center"/>
              <w:rPr>
                <w:color w:val="auto"/>
                <w:sz w:val="18"/>
                <w:szCs w:val="18"/>
              </w:rPr>
            </w:pPr>
            <w:r>
              <w:rPr>
                <w:color w:val="auto"/>
                <w:sz w:val="18"/>
                <w:szCs w:val="18"/>
              </w:rPr>
              <w:t>挽回损失/%</w:t>
            </w:r>
          </w:p>
        </w:tc>
        <w:tc>
          <w:tcPr>
            <w:tcW w:w="708" w:type="dxa"/>
            <w:noWrap/>
          </w:tcPr>
          <w:p>
            <w:pPr>
              <w:spacing w:line="240" w:lineRule="exact"/>
              <w:jc w:val="center"/>
              <w:rPr>
                <w:color w:val="auto"/>
                <w:sz w:val="18"/>
                <w:szCs w:val="18"/>
              </w:rPr>
            </w:pPr>
            <w:r>
              <w:rPr>
                <w:color w:val="auto"/>
                <w:sz w:val="18"/>
                <w:szCs w:val="18"/>
              </w:rPr>
              <w:t>面积占比/%</w:t>
            </w:r>
          </w:p>
        </w:tc>
        <w:tc>
          <w:tcPr>
            <w:tcW w:w="702" w:type="dxa"/>
            <w:noWrap/>
          </w:tcPr>
          <w:p>
            <w:pPr>
              <w:spacing w:line="240" w:lineRule="exact"/>
              <w:jc w:val="center"/>
              <w:rPr>
                <w:color w:val="auto"/>
                <w:sz w:val="18"/>
                <w:szCs w:val="18"/>
              </w:rPr>
            </w:pPr>
            <w:r>
              <w:rPr>
                <w:color w:val="auto"/>
                <w:sz w:val="18"/>
                <w:szCs w:val="18"/>
              </w:rPr>
              <w:t>平均单产kg/亩</w:t>
            </w:r>
          </w:p>
        </w:tc>
        <w:tc>
          <w:tcPr>
            <w:tcW w:w="707" w:type="dxa"/>
            <w:noWrap/>
          </w:tcPr>
          <w:p>
            <w:pPr>
              <w:spacing w:line="240" w:lineRule="exact"/>
              <w:jc w:val="center"/>
              <w:rPr>
                <w:color w:val="auto"/>
                <w:sz w:val="18"/>
                <w:szCs w:val="18"/>
              </w:rPr>
            </w:pPr>
            <w:r>
              <w:rPr>
                <w:color w:val="auto"/>
                <w:sz w:val="18"/>
                <w:szCs w:val="18"/>
              </w:rPr>
              <w:t>挽回损失/%</w:t>
            </w:r>
          </w:p>
        </w:tc>
        <w:tc>
          <w:tcPr>
            <w:tcW w:w="707" w:type="dxa"/>
            <w:noWrap/>
          </w:tcPr>
          <w:p>
            <w:pPr>
              <w:spacing w:line="240" w:lineRule="exact"/>
              <w:jc w:val="center"/>
              <w:rPr>
                <w:color w:val="auto"/>
                <w:sz w:val="18"/>
                <w:szCs w:val="18"/>
              </w:rPr>
            </w:pPr>
            <w:r>
              <w:rPr>
                <w:color w:val="auto"/>
                <w:sz w:val="18"/>
                <w:szCs w:val="18"/>
              </w:rPr>
              <w:t>面积占比/%</w:t>
            </w:r>
          </w:p>
        </w:tc>
        <w:tc>
          <w:tcPr>
            <w:tcW w:w="840" w:type="dxa"/>
            <w:noWrap/>
          </w:tcPr>
          <w:p>
            <w:pPr>
              <w:spacing w:line="240" w:lineRule="exact"/>
              <w:jc w:val="center"/>
              <w:rPr>
                <w:color w:val="auto"/>
                <w:sz w:val="18"/>
                <w:szCs w:val="18"/>
              </w:rPr>
            </w:pPr>
            <w:r>
              <w:rPr>
                <w:color w:val="auto"/>
                <w:sz w:val="18"/>
                <w:szCs w:val="18"/>
              </w:rPr>
              <w:t>平均</w:t>
            </w:r>
          </w:p>
          <w:p>
            <w:pPr>
              <w:spacing w:line="240" w:lineRule="exact"/>
              <w:jc w:val="center"/>
              <w:rPr>
                <w:color w:val="auto"/>
                <w:sz w:val="18"/>
                <w:szCs w:val="18"/>
              </w:rPr>
            </w:pPr>
            <w:r>
              <w:rPr>
                <w:color w:val="auto"/>
                <w:sz w:val="18"/>
                <w:szCs w:val="18"/>
              </w:rPr>
              <w:t>单产</w:t>
            </w:r>
          </w:p>
          <w:p>
            <w:pPr>
              <w:spacing w:line="240" w:lineRule="exact"/>
              <w:jc w:val="center"/>
              <w:rPr>
                <w:color w:val="auto"/>
                <w:sz w:val="18"/>
                <w:szCs w:val="18"/>
              </w:rPr>
            </w:pPr>
            <w:r>
              <w:rPr>
                <w:color w:val="auto"/>
                <w:sz w:val="18"/>
                <w:szCs w:val="18"/>
              </w:rPr>
              <w:t>kg/亩</w:t>
            </w:r>
          </w:p>
        </w:tc>
        <w:tc>
          <w:tcPr>
            <w:tcW w:w="627" w:type="dxa"/>
            <w:vMerge w:val="continue"/>
            <w:noWrap/>
          </w:tcPr>
          <w:p>
            <w:pPr>
              <w:spacing w:line="240" w:lineRule="exact"/>
              <w:rPr>
                <w:color w:val="auto"/>
                <w:sz w:val="18"/>
                <w:szCs w:val="18"/>
              </w:rPr>
            </w:pPr>
          </w:p>
        </w:tc>
        <w:tc>
          <w:tcPr>
            <w:tcW w:w="560" w:type="dxa"/>
            <w:vMerge w:val="continue"/>
            <w:noWrap/>
          </w:tcPr>
          <w:p>
            <w:pPr>
              <w:spacing w:line="240" w:lineRule="exact"/>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4" w:type="dxa"/>
            <w:noWrap/>
          </w:tcPr>
          <w:p>
            <w:pPr>
              <w:spacing w:line="400" w:lineRule="exact"/>
              <w:rPr>
                <w:color w:val="auto"/>
                <w:sz w:val="18"/>
                <w:szCs w:val="18"/>
              </w:rPr>
            </w:pPr>
          </w:p>
        </w:tc>
        <w:tc>
          <w:tcPr>
            <w:tcW w:w="703" w:type="dxa"/>
            <w:noWrap/>
            <w:vAlign w:val="to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3"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2"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840" w:type="dxa"/>
            <w:noWrap/>
          </w:tcPr>
          <w:p>
            <w:pPr>
              <w:spacing w:line="400" w:lineRule="exact"/>
              <w:rPr>
                <w:rFonts w:ascii="宋体" w:hAnsi="宋体"/>
                <w:color w:val="auto"/>
                <w:sz w:val="18"/>
                <w:szCs w:val="18"/>
              </w:rPr>
            </w:pPr>
          </w:p>
        </w:tc>
        <w:tc>
          <w:tcPr>
            <w:tcW w:w="627" w:type="dxa"/>
            <w:noWrap/>
          </w:tcPr>
          <w:p>
            <w:pPr>
              <w:spacing w:line="400" w:lineRule="exact"/>
              <w:rPr>
                <w:rFonts w:ascii="宋体" w:hAnsi="宋体"/>
                <w:color w:val="auto"/>
                <w:sz w:val="18"/>
                <w:szCs w:val="18"/>
              </w:rPr>
            </w:pPr>
          </w:p>
        </w:tc>
        <w:tc>
          <w:tcPr>
            <w:tcW w:w="560" w:type="dxa"/>
            <w:vMerge w:val="restart"/>
            <w:noWrap/>
            <w:vAlign w:val="center"/>
          </w:tcPr>
          <w:p>
            <w:pPr>
              <w:spacing w:line="400" w:lineRule="exact"/>
              <w:ind w:left="-44" w:leftChars="-21"/>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4" w:type="dxa"/>
            <w:noWrap/>
          </w:tcPr>
          <w:p>
            <w:pPr>
              <w:spacing w:line="400" w:lineRule="exact"/>
              <w:rPr>
                <w:color w:val="auto"/>
                <w:sz w:val="18"/>
                <w:szCs w:val="18"/>
              </w:rPr>
            </w:pPr>
          </w:p>
        </w:tc>
        <w:tc>
          <w:tcPr>
            <w:tcW w:w="703" w:type="dxa"/>
            <w:noWrap/>
            <w:vAlign w:val="to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3"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2"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840" w:type="dxa"/>
            <w:noWrap/>
          </w:tcPr>
          <w:p>
            <w:pPr>
              <w:spacing w:line="400" w:lineRule="exact"/>
              <w:rPr>
                <w:rFonts w:ascii="宋体" w:hAnsi="宋体"/>
                <w:color w:val="auto"/>
                <w:sz w:val="18"/>
                <w:szCs w:val="18"/>
              </w:rPr>
            </w:pPr>
          </w:p>
        </w:tc>
        <w:tc>
          <w:tcPr>
            <w:tcW w:w="627" w:type="dxa"/>
            <w:noWrap/>
          </w:tcPr>
          <w:p>
            <w:pPr>
              <w:spacing w:line="400" w:lineRule="exact"/>
              <w:rPr>
                <w:rFonts w:ascii="宋体" w:hAnsi="宋体"/>
                <w:color w:val="auto"/>
                <w:sz w:val="18"/>
                <w:szCs w:val="18"/>
              </w:rPr>
            </w:pPr>
          </w:p>
        </w:tc>
        <w:tc>
          <w:tcPr>
            <w:tcW w:w="560" w:type="dxa"/>
            <w:vMerge w:val="continue"/>
            <w:noWrap/>
          </w:tcPr>
          <w:p>
            <w:pPr>
              <w:spacing w:line="400" w:lineRule="exact"/>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4" w:type="dxa"/>
            <w:noWrap/>
          </w:tcPr>
          <w:p>
            <w:pPr>
              <w:spacing w:line="400" w:lineRule="exact"/>
              <w:rPr>
                <w:color w:val="auto"/>
                <w:sz w:val="18"/>
                <w:szCs w:val="18"/>
              </w:rPr>
            </w:pPr>
          </w:p>
        </w:tc>
        <w:tc>
          <w:tcPr>
            <w:tcW w:w="703" w:type="dxa"/>
            <w:noWrap/>
            <w:vAlign w:val="to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3"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2"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840" w:type="dxa"/>
            <w:noWrap/>
          </w:tcPr>
          <w:p>
            <w:pPr>
              <w:spacing w:line="400" w:lineRule="exact"/>
              <w:rPr>
                <w:rFonts w:ascii="宋体" w:hAnsi="宋体"/>
                <w:color w:val="auto"/>
                <w:sz w:val="18"/>
                <w:szCs w:val="18"/>
              </w:rPr>
            </w:pPr>
          </w:p>
        </w:tc>
        <w:tc>
          <w:tcPr>
            <w:tcW w:w="627" w:type="dxa"/>
            <w:noWrap/>
          </w:tcPr>
          <w:p>
            <w:pPr>
              <w:spacing w:line="400" w:lineRule="exact"/>
              <w:rPr>
                <w:rFonts w:ascii="宋体" w:hAnsi="宋体"/>
                <w:color w:val="auto"/>
                <w:sz w:val="18"/>
                <w:szCs w:val="18"/>
              </w:rPr>
            </w:pPr>
          </w:p>
        </w:tc>
        <w:tc>
          <w:tcPr>
            <w:tcW w:w="560" w:type="dxa"/>
            <w:vMerge w:val="continue"/>
            <w:noWrap/>
          </w:tcPr>
          <w:p>
            <w:pPr>
              <w:spacing w:line="400" w:lineRule="exact"/>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4" w:type="dxa"/>
            <w:noWrap/>
          </w:tcPr>
          <w:p>
            <w:pPr>
              <w:spacing w:line="400" w:lineRule="exact"/>
              <w:rPr>
                <w:color w:val="auto"/>
                <w:sz w:val="18"/>
                <w:szCs w:val="18"/>
              </w:rPr>
            </w:pPr>
          </w:p>
        </w:tc>
        <w:tc>
          <w:tcPr>
            <w:tcW w:w="703" w:type="dxa"/>
            <w:noWrap/>
            <w:vAlign w:val="to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3"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2"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840" w:type="dxa"/>
            <w:noWrap/>
          </w:tcPr>
          <w:p>
            <w:pPr>
              <w:spacing w:line="400" w:lineRule="exact"/>
              <w:rPr>
                <w:rFonts w:ascii="宋体" w:hAnsi="宋体"/>
                <w:color w:val="auto"/>
                <w:sz w:val="18"/>
                <w:szCs w:val="18"/>
              </w:rPr>
            </w:pPr>
          </w:p>
        </w:tc>
        <w:tc>
          <w:tcPr>
            <w:tcW w:w="627" w:type="dxa"/>
            <w:noWrap/>
          </w:tcPr>
          <w:p>
            <w:pPr>
              <w:spacing w:line="400" w:lineRule="exact"/>
              <w:rPr>
                <w:rFonts w:ascii="宋体" w:hAnsi="宋体"/>
                <w:color w:val="auto"/>
                <w:sz w:val="18"/>
                <w:szCs w:val="18"/>
              </w:rPr>
            </w:pPr>
          </w:p>
        </w:tc>
        <w:tc>
          <w:tcPr>
            <w:tcW w:w="560" w:type="dxa"/>
            <w:vMerge w:val="continue"/>
            <w:noWrap/>
          </w:tcPr>
          <w:p>
            <w:pPr>
              <w:spacing w:line="400" w:lineRule="exact"/>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4" w:type="dxa"/>
            <w:noWrap/>
          </w:tcPr>
          <w:p>
            <w:pPr>
              <w:spacing w:line="400" w:lineRule="exact"/>
              <w:rPr>
                <w:color w:val="auto"/>
                <w:sz w:val="18"/>
                <w:szCs w:val="18"/>
              </w:rPr>
            </w:pPr>
            <w:r>
              <w:rPr>
                <w:rFonts w:hint="eastAsia"/>
                <w:color w:val="auto"/>
                <w:sz w:val="18"/>
                <w:szCs w:val="18"/>
              </w:rPr>
              <w:t>平均</w:t>
            </w:r>
          </w:p>
        </w:tc>
        <w:tc>
          <w:tcPr>
            <w:tcW w:w="703" w:type="dxa"/>
            <w:noWrap/>
            <w:vAlign w:val="top"/>
          </w:tcPr>
          <w:p>
            <w:pPr>
              <w:spacing w:line="400" w:lineRule="exact"/>
              <w:rPr>
                <w:rFonts w:ascii="宋体" w:hAnsi="宋体"/>
                <w:color w:val="auto"/>
                <w:sz w:val="18"/>
                <w:szCs w:val="18"/>
              </w:rPr>
            </w:pPr>
          </w:p>
        </w:tc>
        <w:tc>
          <w:tcPr>
            <w:tcW w:w="707" w:type="dxa"/>
            <w:noWrap/>
          </w:tcPr>
          <w:p>
            <w:pPr>
              <w:spacing w:line="400" w:lineRule="exact"/>
              <w:rPr>
                <w:rFonts w:ascii="宋体" w:hAnsi="宋体"/>
                <w:color w:val="auto"/>
                <w:sz w:val="18"/>
                <w:szCs w:val="18"/>
              </w:rPr>
            </w:pPr>
          </w:p>
        </w:tc>
        <w:tc>
          <w:tcPr>
            <w:tcW w:w="703" w:type="dxa"/>
            <w:noWrap/>
          </w:tcPr>
          <w:p>
            <w:pPr>
              <w:spacing w:line="400" w:lineRule="exact"/>
              <w:jc w:val="center"/>
              <w:rPr>
                <w:rFonts w:ascii="宋体" w:hAnsi="宋体"/>
                <w:color w:val="auto"/>
                <w:sz w:val="18"/>
                <w:szCs w:val="18"/>
              </w:rPr>
            </w:pPr>
          </w:p>
        </w:tc>
        <w:tc>
          <w:tcPr>
            <w:tcW w:w="708" w:type="dxa"/>
            <w:noWrap/>
          </w:tcPr>
          <w:p>
            <w:pPr>
              <w:spacing w:line="400" w:lineRule="exact"/>
              <w:rPr>
                <w:rFonts w:ascii="宋体" w:hAnsi="宋体"/>
                <w:color w:val="auto"/>
                <w:sz w:val="18"/>
                <w:szCs w:val="18"/>
              </w:rPr>
            </w:pPr>
          </w:p>
        </w:tc>
        <w:tc>
          <w:tcPr>
            <w:tcW w:w="707" w:type="dxa"/>
            <w:noWrap/>
            <w:vAlign w:val="center"/>
          </w:tcPr>
          <w:p>
            <w:pPr>
              <w:spacing w:line="400" w:lineRule="exact"/>
              <w:rPr>
                <w:rFonts w:ascii="宋体" w:hAnsi="宋体"/>
                <w:color w:val="auto"/>
                <w:sz w:val="18"/>
                <w:szCs w:val="18"/>
              </w:rPr>
            </w:pPr>
          </w:p>
        </w:tc>
        <w:tc>
          <w:tcPr>
            <w:tcW w:w="708" w:type="dxa"/>
            <w:noWrap/>
            <w:vAlign w:val="center"/>
          </w:tcPr>
          <w:p>
            <w:pPr>
              <w:spacing w:line="400" w:lineRule="exact"/>
              <w:jc w:val="center"/>
              <w:rPr>
                <w:rFonts w:ascii="宋体" w:hAnsi="宋体"/>
                <w:color w:val="auto"/>
                <w:sz w:val="18"/>
                <w:szCs w:val="18"/>
              </w:rPr>
            </w:pPr>
          </w:p>
        </w:tc>
        <w:tc>
          <w:tcPr>
            <w:tcW w:w="702" w:type="dxa"/>
            <w:noWrap/>
          </w:tcPr>
          <w:p>
            <w:pPr>
              <w:spacing w:line="400" w:lineRule="exact"/>
              <w:rPr>
                <w:rFonts w:ascii="宋体" w:hAnsi="宋体"/>
                <w:color w:val="auto"/>
                <w:sz w:val="18"/>
                <w:szCs w:val="18"/>
              </w:rPr>
            </w:pPr>
          </w:p>
        </w:tc>
        <w:tc>
          <w:tcPr>
            <w:tcW w:w="707" w:type="dxa"/>
            <w:noWrap/>
            <w:vAlign w:val="center"/>
          </w:tcPr>
          <w:p>
            <w:pPr>
              <w:spacing w:line="400" w:lineRule="exact"/>
              <w:rPr>
                <w:rFonts w:ascii="宋体" w:hAnsi="宋体"/>
                <w:color w:val="auto"/>
                <w:sz w:val="18"/>
                <w:szCs w:val="18"/>
              </w:rPr>
            </w:pPr>
          </w:p>
        </w:tc>
        <w:tc>
          <w:tcPr>
            <w:tcW w:w="707" w:type="dxa"/>
            <w:noWrap/>
            <w:vAlign w:val="center"/>
          </w:tcPr>
          <w:p>
            <w:pPr>
              <w:spacing w:line="400" w:lineRule="exact"/>
              <w:jc w:val="center"/>
              <w:rPr>
                <w:rFonts w:ascii="宋体" w:hAnsi="宋体"/>
                <w:color w:val="auto"/>
                <w:sz w:val="18"/>
                <w:szCs w:val="18"/>
              </w:rPr>
            </w:pPr>
          </w:p>
        </w:tc>
        <w:tc>
          <w:tcPr>
            <w:tcW w:w="840" w:type="dxa"/>
            <w:noWrap/>
          </w:tcPr>
          <w:p>
            <w:pPr>
              <w:spacing w:line="400" w:lineRule="exact"/>
              <w:rPr>
                <w:rFonts w:ascii="宋体" w:hAnsi="宋体"/>
                <w:color w:val="auto"/>
                <w:sz w:val="18"/>
                <w:szCs w:val="18"/>
              </w:rPr>
            </w:pPr>
          </w:p>
        </w:tc>
        <w:tc>
          <w:tcPr>
            <w:tcW w:w="627" w:type="dxa"/>
            <w:noWrap/>
          </w:tcPr>
          <w:p>
            <w:pPr>
              <w:spacing w:line="400" w:lineRule="exact"/>
              <w:rPr>
                <w:rFonts w:ascii="宋体" w:hAnsi="宋体"/>
                <w:color w:val="auto"/>
                <w:sz w:val="18"/>
                <w:szCs w:val="18"/>
              </w:rPr>
            </w:pPr>
          </w:p>
        </w:tc>
        <w:tc>
          <w:tcPr>
            <w:tcW w:w="560" w:type="dxa"/>
            <w:vMerge w:val="continue"/>
            <w:noWrap/>
          </w:tcPr>
          <w:p>
            <w:pPr>
              <w:spacing w:line="400" w:lineRule="exact"/>
              <w:rPr>
                <w:color w:val="auto"/>
                <w:sz w:val="18"/>
                <w:szCs w:val="18"/>
              </w:rPr>
            </w:pPr>
          </w:p>
        </w:tc>
      </w:tr>
    </w:tbl>
    <w:p>
      <w:pPr>
        <w:rPr>
          <w:rFonts w:eastAsia="仿宋_GB2312"/>
          <w:color w:val="auto"/>
          <w:sz w:val="32"/>
          <w:szCs w:val="20"/>
        </w:rPr>
      </w:pPr>
    </w:p>
    <w:p>
      <w:pPr>
        <w:rPr>
          <w:rFonts w:eastAsia="仿宋_GB2312"/>
          <w:color w:val="auto"/>
          <w:sz w:val="32"/>
          <w:szCs w:val="20"/>
        </w:rPr>
      </w:pPr>
    </w:p>
    <w:p>
      <w:pPr>
        <w:rPr>
          <w:rFonts w:eastAsia="仿宋_GB2312"/>
          <w:color w:val="auto"/>
          <w:sz w:val="32"/>
          <w:szCs w:val="20"/>
        </w:rPr>
      </w:pPr>
    </w:p>
    <w:p>
      <w:pPr>
        <w:jc w:val="center"/>
        <w:rPr>
          <w:rFonts w:ascii="黑体" w:hAnsi="黑体" w:eastAsia="黑体"/>
          <w:bCs/>
          <w:color w:val="auto"/>
          <w:szCs w:val="21"/>
        </w:rPr>
      </w:pPr>
      <w:r>
        <w:rPr>
          <w:rFonts w:hint="eastAsia" w:ascii="黑体" w:hAnsi="黑体" w:eastAsia="黑体"/>
          <w:bCs/>
          <w:color w:val="auto"/>
          <w:szCs w:val="21"/>
        </w:rPr>
        <w:t>表</w:t>
      </w:r>
      <w:r>
        <w:rPr>
          <w:rFonts w:eastAsia="黑体"/>
          <w:color w:val="auto"/>
          <w:szCs w:val="21"/>
        </w:rPr>
        <w:t>4</w:t>
      </w:r>
      <w:r>
        <w:rPr>
          <w:rFonts w:hint="eastAsia" w:ascii="黑体" w:hAnsi="黑体" w:eastAsia="黑体"/>
          <w:bCs/>
          <w:color w:val="auto"/>
          <w:szCs w:val="21"/>
        </w:rPr>
        <w:t xml:space="preserve"> 全国农作物病虫草害防控植保贡献率评价试验结果</w:t>
      </w:r>
    </w:p>
    <w:tbl>
      <w:tblPr>
        <w:tblStyle w:val="4"/>
        <w:tblW w:w="921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883"/>
        <w:gridCol w:w="851"/>
        <w:gridCol w:w="850"/>
        <w:gridCol w:w="850"/>
        <w:gridCol w:w="850"/>
        <w:gridCol w:w="853"/>
        <w:gridCol w:w="1133"/>
        <w:gridCol w:w="85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ign w:val="center"/>
          </w:tcPr>
          <w:p>
            <w:pPr>
              <w:spacing w:line="400" w:lineRule="exact"/>
              <w:jc w:val="center"/>
              <w:rPr>
                <w:bCs/>
                <w:color w:val="auto"/>
                <w:sz w:val="18"/>
                <w:szCs w:val="18"/>
              </w:rPr>
            </w:pPr>
            <w:r>
              <w:rPr>
                <w:rFonts w:hint="eastAsia"/>
                <w:bCs/>
                <w:color w:val="auto"/>
                <w:sz w:val="18"/>
                <w:szCs w:val="18"/>
              </w:rPr>
              <w:t>作物名称</w:t>
            </w:r>
          </w:p>
        </w:tc>
        <w:tc>
          <w:tcPr>
            <w:tcW w:w="883" w:type="dxa"/>
            <w:noWrap/>
            <w:vAlign w:val="center"/>
          </w:tcPr>
          <w:p>
            <w:pPr>
              <w:spacing w:line="240" w:lineRule="exact"/>
              <w:ind w:left="-73" w:leftChars="-35"/>
              <w:jc w:val="center"/>
              <w:rPr>
                <w:bCs/>
                <w:color w:val="auto"/>
                <w:sz w:val="18"/>
                <w:szCs w:val="18"/>
              </w:rPr>
            </w:pPr>
            <w:r>
              <w:rPr>
                <w:bCs/>
                <w:color w:val="auto"/>
                <w:sz w:val="18"/>
                <w:szCs w:val="18"/>
              </w:rPr>
              <w:t>某作物贡</w:t>
            </w:r>
          </w:p>
          <w:p>
            <w:pPr>
              <w:spacing w:line="240" w:lineRule="exact"/>
              <w:jc w:val="center"/>
              <w:rPr>
                <w:bCs/>
                <w:color w:val="auto"/>
                <w:sz w:val="18"/>
                <w:szCs w:val="18"/>
              </w:rPr>
            </w:pPr>
            <w:r>
              <w:rPr>
                <w:bCs/>
                <w:color w:val="auto"/>
                <w:sz w:val="18"/>
                <w:szCs w:val="18"/>
              </w:rPr>
              <w:t>献率/%</w:t>
            </w:r>
          </w:p>
        </w:tc>
        <w:tc>
          <w:tcPr>
            <w:tcW w:w="851" w:type="dxa"/>
            <w:noWrap/>
            <w:vAlign w:val="center"/>
          </w:tcPr>
          <w:p>
            <w:pPr>
              <w:spacing w:line="240" w:lineRule="exact"/>
              <w:ind w:left="-107" w:leftChars="-51" w:right="-107" w:rightChars="-51"/>
              <w:jc w:val="center"/>
              <w:rPr>
                <w:bCs/>
                <w:color w:val="auto"/>
                <w:sz w:val="18"/>
                <w:szCs w:val="18"/>
              </w:rPr>
            </w:pPr>
            <w:r>
              <w:rPr>
                <w:bCs/>
                <w:color w:val="auto"/>
                <w:sz w:val="18"/>
                <w:szCs w:val="18"/>
              </w:rPr>
              <w:t>严格防控</w:t>
            </w:r>
          </w:p>
          <w:p>
            <w:pPr>
              <w:spacing w:line="240" w:lineRule="exact"/>
              <w:ind w:left="-107" w:leftChars="-51"/>
              <w:jc w:val="center"/>
              <w:rPr>
                <w:bCs/>
                <w:color w:val="auto"/>
                <w:sz w:val="18"/>
                <w:szCs w:val="18"/>
              </w:rPr>
            </w:pPr>
            <w:r>
              <w:rPr>
                <w:bCs/>
                <w:color w:val="auto"/>
                <w:sz w:val="18"/>
                <w:szCs w:val="18"/>
              </w:rPr>
              <w:t>贡献率/%</w:t>
            </w:r>
          </w:p>
        </w:tc>
        <w:tc>
          <w:tcPr>
            <w:tcW w:w="850" w:type="dxa"/>
            <w:noWrap/>
            <w:vAlign w:val="center"/>
          </w:tcPr>
          <w:p>
            <w:pPr>
              <w:spacing w:line="240" w:lineRule="exact"/>
              <w:ind w:left="-107" w:leftChars="-51" w:right="-107" w:rightChars="-51"/>
              <w:jc w:val="center"/>
              <w:rPr>
                <w:bCs/>
                <w:color w:val="auto"/>
                <w:sz w:val="18"/>
                <w:szCs w:val="18"/>
              </w:rPr>
            </w:pPr>
            <w:r>
              <w:rPr>
                <w:bCs/>
                <w:color w:val="auto"/>
                <w:sz w:val="18"/>
                <w:szCs w:val="18"/>
              </w:rPr>
              <w:t>统防统治</w:t>
            </w:r>
          </w:p>
          <w:p>
            <w:pPr>
              <w:spacing w:line="240" w:lineRule="exact"/>
              <w:ind w:left="-107" w:leftChars="-51" w:right="-107" w:rightChars="-51"/>
              <w:jc w:val="center"/>
              <w:rPr>
                <w:bCs/>
                <w:color w:val="auto"/>
                <w:sz w:val="18"/>
                <w:szCs w:val="18"/>
              </w:rPr>
            </w:pPr>
            <w:r>
              <w:rPr>
                <w:bCs/>
                <w:color w:val="auto"/>
                <w:sz w:val="18"/>
                <w:szCs w:val="18"/>
              </w:rPr>
              <w:t>贡献率/%</w:t>
            </w:r>
          </w:p>
        </w:tc>
        <w:tc>
          <w:tcPr>
            <w:tcW w:w="850" w:type="dxa"/>
            <w:noWrap/>
            <w:vAlign w:val="center"/>
          </w:tcPr>
          <w:p>
            <w:pPr>
              <w:spacing w:line="240" w:lineRule="exact"/>
              <w:ind w:left="-107" w:leftChars="-51" w:right="-107" w:rightChars="-51"/>
              <w:jc w:val="center"/>
              <w:rPr>
                <w:bCs/>
                <w:color w:val="auto"/>
                <w:sz w:val="18"/>
                <w:szCs w:val="18"/>
              </w:rPr>
            </w:pPr>
            <w:r>
              <w:rPr>
                <w:bCs/>
                <w:color w:val="auto"/>
                <w:sz w:val="18"/>
                <w:szCs w:val="18"/>
              </w:rPr>
              <w:t>农户自防</w:t>
            </w:r>
          </w:p>
          <w:p>
            <w:pPr>
              <w:spacing w:line="240" w:lineRule="exact"/>
              <w:ind w:left="-107" w:leftChars="-51" w:right="-107" w:rightChars="-51"/>
              <w:jc w:val="center"/>
              <w:rPr>
                <w:bCs/>
                <w:color w:val="auto"/>
                <w:sz w:val="18"/>
                <w:szCs w:val="18"/>
              </w:rPr>
            </w:pPr>
            <w:r>
              <w:rPr>
                <w:bCs/>
                <w:color w:val="auto"/>
                <w:sz w:val="18"/>
                <w:szCs w:val="18"/>
              </w:rPr>
              <w:t>贡献率/%</w:t>
            </w:r>
          </w:p>
        </w:tc>
        <w:tc>
          <w:tcPr>
            <w:tcW w:w="850" w:type="dxa"/>
            <w:noWrap/>
            <w:vAlign w:val="center"/>
          </w:tcPr>
          <w:p>
            <w:pPr>
              <w:spacing w:line="240" w:lineRule="exact"/>
              <w:ind w:left="-107" w:leftChars="-51" w:right="-107" w:rightChars="-51"/>
              <w:jc w:val="center"/>
              <w:rPr>
                <w:bCs/>
                <w:color w:val="auto"/>
                <w:sz w:val="18"/>
                <w:szCs w:val="18"/>
              </w:rPr>
            </w:pPr>
            <w:r>
              <w:rPr>
                <w:bCs/>
                <w:color w:val="auto"/>
                <w:sz w:val="18"/>
                <w:szCs w:val="18"/>
              </w:rPr>
              <w:t>某作物产</w:t>
            </w:r>
          </w:p>
          <w:p>
            <w:pPr>
              <w:spacing w:line="240" w:lineRule="exact"/>
              <w:ind w:left="-107" w:leftChars="-51" w:right="-107" w:rightChars="-51"/>
              <w:jc w:val="center"/>
              <w:rPr>
                <w:bCs/>
                <w:color w:val="auto"/>
                <w:sz w:val="18"/>
                <w:szCs w:val="18"/>
              </w:rPr>
            </w:pPr>
            <w:r>
              <w:rPr>
                <w:bCs/>
                <w:color w:val="auto"/>
                <w:sz w:val="18"/>
                <w:szCs w:val="18"/>
              </w:rPr>
              <w:t>量/万t</w:t>
            </w:r>
          </w:p>
        </w:tc>
        <w:tc>
          <w:tcPr>
            <w:tcW w:w="853" w:type="dxa"/>
            <w:noWrap/>
            <w:vAlign w:val="center"/>
          </w:tcPr>
          <w:p>
            <w:pPr>
              <w:spacing w:line="240" w:lineRule="exact"/>
              <w:ind w:left="-105" w:leftChars="-50" w:right="-109" w:rightChars="-52"/>
              <w:jc w:val="center"/>
              <w:rPr>
                <w:bCs/>
                <w:color w:val="auto"/>
                <w:sz w:val="18"/>
                <w:szCs w:val="18"/>
              </w:rPr>
            </w:pPr>
            <w:r>
              <w:rPr>
                <w:bCs/>
                <w:color w:val="auto"/>
                <w:sz w:val="18"/>
                <w:szCs w:val="18"/>
              </w:rPr>
              <w:t>挽回产量</w:t>
            </w:r>
          </w:p>
          <w:p>
            <w:pPr>
              <w:spacing w:line="240" w:lineRule="exact"/>
              <w:jc w:val="center"/>
              <w:rPr>
                <w:bCs/>
                <w:color w:val="auto"/>
                <w:sz w:val="18"/>
                <w:szCs w:val="18"/>
              </w:rPr>
            </w:pPr>
            <w:r>
              <w:rPr>
                <w:bCs/>
                <w:color w:val="auto"/>
                <w:sz w:val="18"/>
                <w:szCs w:val="18"/>
              </w:rPr>
              <w:t>/万t</w:t>
            </w:r>
          </w:p>
        </w:tc>
        <w:tc>
          <w:tcPr>
            <w:tcW w:w="1133" w:type="dxa"/>
            <w:noWrap/>
            <w:vAlign w:val="center"/>
          </w:tcPr>
          <w:p>
            <w:pPr>
              <w:spacing w:line="240" w:lineRule="exact"/>
              <w:ind w:left="-105" w:leftChars="-50"/>
              <w:jc w:val="center"/>
              <w:rPr>
                <w:bCs/>
                <w:color w:val="auto"/>
                <w:sz w:val="18"/>
                <w:szCs w:val="18"/>
              </w:rPr>
            </w:pPr>
            <w:r>
              <w:rPr>
                <w:bCs/>
                <w:color w:val="auto"/>
                <w:sz w:val="18"/>
                <w:szCs w:val="18"/>
              </w:rPr>
              <w:t>某作物播种</w:t>
            </w:r>
          </w:p>
          <w:p>
            <w:pPr>
              <w:spacing w:line="240" w:lineRule="exact"/>
              <w:ind w:left="-103" w:leftChars="-49"/>
              <w:jc w:val="center"/>
              <w:rPr>
                <w:bCs/>
                <w:color w:val="auto"/>
                <w:sz w:val="18"/>
                <w:szCs w:val="18"/>
              </w:rPr>
            </w:pPr>
            <w:r>
              <w:rPr>
                <w:bCs/>
                <w:color w:val="auto"/>
                <w:sz w:val="18"/>
                <w:szCs w:val="18"/>
              </w:rPr>
              <w:t>面积/万hm</w:t>
            </w:r>
            <w:r>
              <w:rPr>
                <w:bCs/>
                <w:color w:val="auto"/>
                <w:sz w:val="18"/>
                <w:szCs w:val="18"/>
                <w:vertAlign w:val="superscript"/>
              </w:rPr>
              <w:t>2</w:t>
            </w:r>
          </w:p>
        </w:tc>
        <w:tc>
          <w:tcPr>
            <w:tcW w:w="854" w:type="dxa"/>
            <w:noWrap/>
            <w:vAlign w:val="center"/>
          </w:tcPr>
          <w:p>
            <w:pPr>
              <w:spacing w:line="240" w:lineRule="exact"/>
              <w:ind w:left="-105" w:leftChars="-50" w:right="-109" w:rightChars="-52"/>
              <w:rPr>
                <w:bCs/>
                <w:color w:val="auto"/>
                <w:sz w:val="18"/>
                <w:szCs w:val="18"/>
              </w:rPr>
            </w:pPr>
            <w:r>
              <w:rPr>
                <w:bCs/>
                <w:color w:val="auto"/>
                <w:sz w:val="18"/>
                <w:szCs w:val="18"/>
              </w:rPr>
              <w:t>某作物面</w:t>
            </w:r>
          </w:p>
          <w:p>
            <w:pPr>
              <w:spacing w:line="240" w:lineRule="exact"/>
              <w:ind w:left="-103" w:leftChars="-49"/>
              <w:jc w:val="center"/>
              <w:rPr>
                <w:bCs/>
                <w:color w:val="auto"/>
                <w:sz w:val="18"/>
                <w:szCs w:val="18"/>
              </w:rPr>
            </w:pPr>
            <w:r>
              <w:rPr>
                <w:bCs/>
                <w:color w:val="auto"/>
                <w:sz w:val="18"/>
                <w:szCs w:val="18"/>
              </w:rPr>
              <w:t>积占比/%</w:t>
            </w:r>
          </w:p>
        </w:tc>
        <w:tc>
          <w:tcPr>
            <w:tcW w:w="992" w:type="dxa"/>
            <w:noWrap/>
            <w:vAlign w:val="center"/>
          </w:tcPr>
          <w:p>
            <w:pPr>
              <w:spacing w:line="240" w:lineRule="exact"/>
              <w:ind w:left="-103" w:leftChars="-49"/>
              <w:jc w:val="center"/>
              <w:rPr>
                <w:bCs/>
                <w:color w:val="auto"/>
                <w:sz w:val="18"/>
                <w:szCs w:val="18"/>
              </w:rPr>
            </w:pPr>
            <w:r>
              <w:rPr>
                <w:bCs/>
                <w:color w:val="auto"/>
                <w:sz w:val="18"/>
                <w:szCs w:val="18"/>
              </w:rPr>
              <w:t>平均植保</w:t>
            </w:r>
          </w:p>
          <w:p>
            <w:pPr>
              <w:spacing w:line="240" w:lineRule="exact"/>
              <w:ind w:left="-103" w:leftChars="-49"/>
              <w:jc w:val="center"/>
              <w:rPr>
                <w:bCs/>
                <w:color w:val="auto"/>
                <w:sz w:val="18"/>
                <w:szCs w:val="18"/>
              </w:rPr>
            </w:pPr>
            <w:r>
              <w:rPr>
                <w:bCs/>
                <w:color w:val="auto"/>
                <w:sz w:val="18"/>
                <w:szCs w:val="18"/>
              </w:rPr>
              <w:t>贡献率/%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1" w:type="dxa"/>
            <w:noWrap/>
            <w:vAlign w:val="center"/>
          </w:tcPr>
          <w:p>
            <w:pPr>
              <w:spacing w:line="400" w:lineRule="exact"/>
              <w:jc w:val="center"/>
              <w:rPr>
                <w:bCs/>
                <w:color w:val="auto"/>
                <w:sz w:val="18"/>
                <w:szCs w:val="18"/>
              </w:rPr>
            </w:pPr>
          </w:p>
        </w:tc>
        <w:tc>
          <w:tcPr>
            <w:tcW w:w="883" w:type="dxa"/>
            <w:noWrap/>
            <w:vAlign w:val="center"/>
          </w:tcPr>
          <w:p>
            <w:pPr>
              <w:spacing w:line="400" w:lineRule="exact"/>
              <w:jc w:val="center"/>
              <w:rPr>
                <w:bCs/>
                <w:color w:val="auto"/>
                <w:sz w:val="18"/>
                <w:szCs w:val="18"/>
              </w:rPr>
            </w:pPr>
          </w:p>
        </w:tc>
        <w:tc>
          <w:tcPr>
            <w:tcW w:w="851"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ind w:left="-105" w:leftChars="-50"/>
              <w:jc w:val="center"/>
              <w:rPr>
                <w:bCs/>
                <w:color w:val="auto"/>
                <w:sz w:val="18"/>
                <w:szCs w:val="18"/>
              </w:rPr>
            </w:pPr>
          </w:p>
        </w:tc>
        <w:tc>
          <w:tcPr>
            <w:tcW w:w="853" w:type="dxa"/>
            <w:noWrap/>
            <w:vAlign w:val="center"/>
          </w:tcPr>
          <w:p>
            <w:pPr>
              <w:spacing w:line="400" w:lineRule="exact"/>
              <w:jc w:val="center"/>
              <w:rPr>
                <w:bCs/>
                <w:color w:val="auto"/>
                <w:sz w:val="18"/>
                <w:szCs w:val="18"/>
              </w:rPr>
            </w:pPr>
          </w:p>
        </w:tc>
        <w:tc>
          <w:tcPr>
            <w:tcW w:w="1133" w:type="dxa"/>
            <w:noWrap/>
            <w:vAlign w:val="center"/>
          </w:tcPr>
          <w:p>
            <w:pPr>
              <w:spacing w:line="400" w:lineRule="exact"/>
              <w:jc w:val="center"/>
              <w:rPr>
                <w:bCs/>
                <w:color w:val="auto"/>
                <w:sz w:val="18"/>
                <w:szCs w:val="18"/>
              </w:rPr>
            </w:pPr>
          </w:p>
        </w:tc>
        <w:tc>
          <w:tcPr>
            <w:tcW w:w="854" w:type="dxa"/>
            <w:noWrap/>
            <w:vAlign w:val="center"/>
          </w:tcPr>
          <w:p>
            <w:pPr>
              <w:spacing w:line="400" w:lineRule="exact"/>
              <w:jc w:val="center"/>
              <w:rPr>
                <w:bCs/>
                <w:color w:val="auto"/>
                <w:sz w:val="18"/>
                <w:szCs w:val="18"/>
              </w:rPr>
            </w:pPr>
          </w:p>
        </w:tc>
        <w:tc>
          <w:tcPr>
            <w:tcW w:w="992" w:type="dxa"/>
            <w:vMerge w:val="restart"/>
            <w:noWrap/>
            <w:vAlign w:val="center"/>
          </w:tcPr>
          <w:p>
            <w:pPr>
              <w:spacing w:line="400" w:lineRule="exact"/>
              <w:jc w:val="center"/>
              <w:rPr>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1" w:type="dxa"/>
            <w:noWrap/>
            <w:vAlign w:val="center"/>
          </w:tcPr>
          <w:p>
            <w:pPr>
              <w:spacing w:line="400" w:lineRule="exact"/>
              <w:jc w:val="center"/>
              <w:rPr>
                <w:bCs/>
                <w:color w:val="auto"/>
                <w:sz w:val="18"/>
                <w:szCs w:val="18"/>
              </w:rPr>
            </w:pPr>
          </w:p>
        </w:tc>
        <w:tc>
          <w:tcPr>
            <w:tcW w:w="883" w:type="dxa"/>
            <w:noWrap/>
            <w:vAlign w:val="center"/>
          </w:tcPr>
          <w:p>
            <w:pPr>
              <w:spacing w:line="400" w:lineRule="exact"/>
              <w:jc w:val="center"/>
              <w:rPr>
                <w:bCs/>
                <w:color w:val="auto"/>
                <w:sz w:val="18"/>
                <w:szCs w:val="18"/>
              </w:rPr>
            </w:pPr>
          </w:p>
        </w:tc>
        <w:tc>
          <w:tcPr>
            <w:tcW w:w="851"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3" w:type="dxa"/>
            <w:noWrap/>
            <w:vAlign w:val="center"/>
          </w:tcPr>
          <w:p>
            <w:pPr>
              <w:spacing w:line="400" w:lineRule="exact"/>
              <w:jc w:val="center"/>
              <w:rPr>
                <w:bCs/>
                <w:color w:val="auto"/>
                <w:sz w:val="18"/>
                <w:szCs w:val="18"/>
              </w:rPr>
            </w:pPr>
          </w:p>
        </w:tc>
        <w:tc>
          <w:tcPr>
            <w:tcW w:w="1133" w:type="dxa"/>
            <w:noWrap/>
            <w:vAlign w:val="center"/>
          </w:tcPr>
          <w:p>
            <w:pPr>
              <w:spacing w:line="400" w:lineRule="exact"/>
              <w:jc w:val="center"/>
              <w:rPr>
                <w:bCs/>
                <w:color w:val="auto"/>
                <w:sz w:val="18"/>
                <w:szCs w:val="18"/>
              </w:rPr>
            </w:pPr>
          </w:p>
        </w:tc>
        <w:tc>
          <w:tcPr>
            <w:tcW w:w="854" w:type="dxa"/>
            <w:noWrap/>
            <w:vAlign w:val="center"/>
          </w:tcPr>
          <w:p>
            <w:pPr>
              <w:spacing w:line="400" w:lineRule="exact"/>
              <w:jc w:val="center"/>
              <w:rPr>
                <w:bCs/>
                <w:color w:val="auto"/>
                <w:sz w:val="18"/>
                <w:szCs w:val="18"/>
              </w:rPr>
            </w:pPr>
          </w:p>
        </w:tc>
        <w:tc>
          <w:tcPr>
            <w:tcW w:w="992" w:type="dxa"/>
            <w:vMerge w:val="continue"/>
            <w:noWrap/>
            <w:vAlign w:val="center"/>
          </w:tcPr>
          <w:p>
            <w:pPr>
              <w:spacing w:line="400" w:lineRule="exact"/>
              <w:jc w:val="center"/>
              <w:rPr>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1" w:type="dxa"/>
            <w:noWrap/>
            <w:vAlign w:val="center"/>
          </w:tcPr>
          <w:p>
            <w:pPr>
              <w:spacing w:line="400" w:lineRule="exact"/>
              <w:jc w:val="center"/>
              <w:rPr>
                <w:bCs/>
                <w:color w:val="auto"/>
                <w:sz w:val="18"/>
                <w:szCs w:val="18"/>
              </w:rPr>
            </w:pPr>
          </w:p>
        </w:tc>
        <w:tc>
          <w:tcPr>
            <w:tcW w:w="883" w:type="dxa"/>
            <w:noWrap/>
            <w:vAlign w:val="center"/>
          </w:tcPr>
          <w:p>
            <w:pPr>
              <w:spacing w:line="400" w:lineRule="exact"/>
              <w:jc w:val="center"/>
              <w:rPr>
                <w:bCs/>
                <w:color w:val="auto"/>
                <w:sz w:val="18"/>
                <w:szCs w:val="18"/>
              </w:rPr>
            </w:pPr>
          </w:p>
        </w:tc>
        <w:tc>
          <w:tcPr>
            <w:tcW w:w="851"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3" w:type="dxa"/>
            <w:noWrap/>
            <w:vAlign w:val="center"/>
          </w:tcPr>
          <w:p>
            <w:pPr>
              <w:spacing w:line="400" w:lineRule="exact"/>
              <w:jc w:val="center"/>
              <w:rPr>
                <w:bCs/>
                <w:color w:val="auto"/>
                <w:sz w:val="18"/>
                <w:szCs w:val="18"/>
              </w:rPr>
            </w:pPr>
          </w:p>
        </w:tc>
        <w:tc>
          <w:tcPr>
            <w:tcW w:w="1133" w:type="dxa"/>
            <w:noWrap/>
            <w:vAlign w:val="center"/>
          </w:tcPr>
          <w:p>
            <w:pPr>
              <w:spacing w:line="400" w:lineRule="exact"/>
              <w:jc w:val="center"/>
              <w:rPr>
                <w:bCs/>
                <w:color w:val="auto"/>
                <w:sz w:val="18"/>
                <w:szCs w:val="18"/>
              </w:rPr>
            </w:pPr>
          </w:p>
        </w:tc>
        <w:tc>
          <w:tcPr>
            <w:tcW w:w="854" w:type="dxa"/>
            <w:noWrap/>
            <w:vAlign w:val="center"/>
          </w:tcPr>
          <w:p>
            <w:pPr>
              <w:spacing w:line="400" w:lineRule="exact"/>
              <w:jc w:val="center"/>
              <w:rPr>
                <w:bCs/>
                <w:color w:val="auto"/>
                <w:sz w:val="18"/>
                <w:szCs w:val="18"/>
              </w:rPr>
            </w:pPr>
          </w:p>
        </w:tc>
        <w:tc>
          <w:tcPr>
            <w:tcW w:w="992" w:type="dxa"/>
            <w:vMerge w:val="continue"/>
            <w:noWrap/>
            <w:vAlign w:val="center"/>
          </w:tcPr>
          <w:p>
            <w:pPr>
              <w:spacing w:line="400" w:lineRule="exact"/>
              <w:jc w:val="center"/>
              <w:rPr>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1" w:type="dxa"/>
            <w:noWrap/>
            <w:vAlign w:val="center"/>
          </w:tcPr>
          <w:p>
            <w:pPr>
              <w:spacing w:line="400" w:lineRule="exact"/>
              <w:jc w:val="center"/>
              <w:rPr>
                <w:bCs/>
                <w:color w:val="auto"/>
                <w:sz w:val="18"/>
                <w:szCs w:val="18"/>
              </w:rPr>
            </w:pPr>
          </w:p>
        </w:tc>
        <w:tc>
          <w:tcPr>
            <w:tcW w:w="883" w:type="dxa"/>
            <w:noWrap/>
            <w:vAlign w:val="center"/>
          </w:tcPr>
          <w:p>
            <w:pPr>
              <w:spacing w:line="400" w:lineRule="exact"/>
              <w:jc w:val="center"/>
              <w:rPr>
                <w:bCs/>
                <w:color w:val="auto"/>
                <w:sz w:val="18"/>
                <w:szCs w:val="18"/>
              </w:rPr>
            </w:pPr>
          </w:p>
        </w:tc>
        <w:tc>
          <w:tcPr>
            <w:tcW w:w="851"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3" w:type="dxa"/>
            <w:noWrap/>
            <w:vAlign w:val="center"/>
          </w:tcPr>
          <w:p>
            <w:pPr>
              <w:spacing w:line="400" w:lineRule="exact"/>
              <w:jc w:val="center"/>
              <w:rPr>
                <w:bCs/>
                <w:color w:val="auto"/>
                <w:sz w:val="18"/>
                <w:szCs w:val="18"/>
              </w:rPr>
            </w:pPr>
          </w:p>
        </w:tc>
        <w:tc>
          <w:tcPr>
            <w:tcW w:w="1133" w:type="dxa"/>
            <w:noWrap/>
            <w:vAlign w:val="center"/>
          </w:tcPr>
          <w:p>
            <w:pPr>
              <w:spacing w:line="400" w:lineRule="exact"/>
              <w:jc w:val="center"/>
              <w:rPr>
                <w:bCs/>
                <w:color w:val="auto"/>
                <w:sz w:val="18"/>
                <w:szCs w:val="18"/>
              </w:rPr>
            </w:pPr>
          </w:p>
        </w:tc>
        <w:tc>
          <w:tcPr>
            <w:tcW w:w="854" w:type="dxa"/>
            <w:noWrap/>
            <w:vAlign w:val="center"/>
          </w:tcPr>
          <w:p>
            <w:pPr>
              <w:spacing w:line="400" w:lineRule="exact"/>
              <w:jc w:val="center"/>
              <w:rPr>
                <w:bCs/>
                <w:color w:val="auto"/>
                <w:sz w:val="18"/>
                <w:szCs w:val="18"/>
              </w:rPr>
            </w:pPr>
          </w:p>
        </w:tc>
        <w:tc>
          <w:tcPr>
            <w:tcW w:w="992" w:type="dxa"/>
            <w:vMerge w:val="continue"/>
            <w:noWrap/>
            <w:vAlign w:val="center"/>
          </w:tcPr>
          <w:p>
            <w:pPr>
              <w:spacing w:line="400" w:lineRule="exact"/>
              <w:jc w:val="center"/>
              <w:rPr>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1" w:type="dxa"/>
            <w:noWrap/>
            <w:vAlign w:val="center"/>
          </w:tcPr>
          <w:p>
            <w:pPr>
              <w:spacing w:line="400" w:lineRule="exact"/>
              <w:jc w:val="center"/>
              <w:rPr>
                <w:bCs/>
                <w:color w:val="auto"/>
                <w:sz w:val="18"/>
                <w:szCs w:val="18"/>
              </w:rPr>
            </w:pPr>
            <w:r>
              <w:rPr>
                <w:rFonts w:hint="eastAsia"/>
                <w:bCs/>
                <w:color w:val="auto"/>
                <w:sz w:val="18"/>
                <w:szCs w:val="18"/>
              </w:rPr>
              <w:t>平均/合计</w:t>
            </w:r>
          </w:p>
        </w:tc>
        <w:tc>
          <w:tcPr>
            <w:tcW w:w="883" w:type="dxa"/>
            <w:noWrap/>
            <w:vAlign w:val="center"/>
          </w:tcPr>
          <w:p>
            <w:pPr>
              <w:spacing w:line="400" w:lineRule="exact"/>
              <w:jc w:val="center"/>
              <w:rPr>
                <w:bCs/>
                <w:color w:val="auto"/>
                <w:sz w:val="18"/>
                <w:szCs w:val="18"/>
              </w:rPr>
            </w:pPr>
          </w:p>
        </w:tc>
        <w:tc>
          <w:tcPr>
            <w:tcW w:w="851"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0" w:type="dxa"/>
            <w:noWrap/>
            <w:vAlign w:val="center"/>
          </w:tcPr>
          <w:p>
            <w:pPr>
              <w:spacing w:line="400" w:lineRule="exact"/>
              <w:jc w:val="center"/>
              <w:rPr>
                <w:bCs/>
                <w:color w:val="auto"/>
                <w:sz w:val="18"/>
                <w:szCs w:val="18"/>
              </w:rPr>
            </w:pPr>
          </w:p>
        </w:tc>
        <w:tc>
          <w:tcPr>
            <w:tcW w:w="853" w:type="dxa"/>
            <w:noWrap/>
            <w:vAlign w:val="center"/>
          </w:tcPr>
          <w:p>
            <w:pPr>
              <w:spacing w:line="400" w:lineRule="exact"/>
              <w:jc w:val="center"/>
              <w:rPr>
                <w:bCs/>
                <w:color w:val="auto"/>
                <w:sz w:val="18"/>
                <w:szCs w:val="18"/>
              </w:rPr>
            </w:pPr>
          </w:p>
        </w:tc>
        <w:tc>
          <w:tcPr>
            <w:tcW w:w="1133" w:type="dxa"/>
            <w:noWrap/>
            <w:vAlign w:val="center"/>
          </w:tcPr>
          <w:p>
            <w:pPr>
              <w:spacing w:line="400" w:lineRule="exact"/>
              <w:jc w:val="center"/>
              <w:rPr>
                <w:bCs/>
                <w:color w:val="auto"/>
                <w:sz w:val="18"/>
                <w:szCs w:val="18"/>
              </w:rPr>
            </w:pPr>
          </w:p>
        </w:tc>
        <w:tc>
          <w:tcPr>
            <w:tcW w:w="854" w:type="dxa"/>
            <w:noWrap/>
            <w:vAlign w:val="center"/>
          </w:tcPr>
          <w:p>
            <w:pPr>
              <w:spacing w:line="400" w:lineRule="exact"/>
              <w:jc w:val="center"/>
              <w:rPr>
                <w:bCs/>
                <w:color w:val="auto"/>
                <w:sz w:val="18"/>
                <w:szCs w:val="18"/>
              </w:rPr>
            </w:pPr>
          </w:p>
        </w:tc>
        <w:tc>
          <w:tcPr>
            <w:tcW w:w="992" w:type="dxa"/>
            <w:vMerge w:val="continue"/>
            <w:noWrap/>
            <w:vAlign w:val="center"/>
          </w:tcPr>
          <w:p>
            <w:pPr>
              <w:spacing w:line="400" w:lineRule="exact"/>
              <w:jc w:val="center"/>
              <w:rPr>
                <w:bCs/>
                <w:color w:val="auto"/>
                <w:sz w:val="18"/>
                <w:szCs w:val="18"/>
              </w:rPr>
            </w:pPr>
          </w:p>
        </w:tc>
      </w:tr>
    </w:tbl>
    <w:p>
      <w:pPr>
        <w:spacing w:line="600" w:lineRule="exact"/>
        <w:rPr>
          <w:rFonts w:eastAsia="仿宋_GB2312"/>
          <w:color w:val="auto"/>
          <w:sz w:val="32"/>
          <w:szCs w:val="20"/>
        </w:rPr>
      </w:pPr>
    </w:p>
    <w:p>
      <w:pPr>
        <w:snapToGrid w:val="0"/>
        <w:spacing w:line="560" w:lineRule="exact"/>
        <w:ind w:firstLine="640" w:firstLineChars="200"/>
        <w:rPr>
          <w:rFonts w:ascii="Times New Roman" w:hAnsi="Times New Roman" w:eastAsia="仿宋_GB2312" w:cs="Times New Roman"/>
          <w:color w:val="auto"/>
          <w:sz w:val="32"/>
          <w:szCs w:val="32"/>
        </w:rPr>
      </w:pPr>
    </w:p>
    <w:p>
      <w:bookmarkStart w:id="0" w:name="_GoBack"/>
      <w:bookmarkEnd w:id="0"/>
    </w:p>
    <w:sectPr>
      <w:footerReference r:id="rId3" w:type="default"/>
      <w:pgSz w:w="11906" w:h="16838"/>
      <w:pgMar w:top="1871" w:right="1587" w:bottom="1701" w:left="1587" w:header="851" w:footer="1247" w:gutter="0"/>
      <w:pgNumType w:fmt="numberInDash"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73B8471-B097-4F97-BD9A-837B8361D3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AF4B218-C21E-40CB-95AC-665D0E8EB2FF}"/>
  </w:font>
  <w:font w:name="仿宋_GB2312">
    <w:altName w:val="仿宋"/>
    <w:panose1 w:val="02010609030101010101"/>
    <w:charset w:val="86"/>
    <w:family w:val="modern"/>
    <w:pitch w:val="default"/>
    <w:sig w:usb0="00000000" w:usb1="00000000" w:usb2="00000000" w:usb3="00000000" w:csb0="00040000" w:csb1="00000000"/>
    <w:embedRegular r:id="rId3" w:fontKey="{16F94AFF-4598-40DD-BEEC-D5C7293A5DAB}"/>
  </w:font>
  <w:font w:name="方正小标宋简体">
    <w:panose1 w:val="02000000000000000000"/>
    <w:charset w:val="86"/>
    <w:family w:val="script"/>
    <w:pitch w:val="default"/>
    <w:sig w:usb0="A00002BF" w:usb1="184F6CFA" w:usb2="00000012" w:usb3="00000000" w:csb0="00040001" w:csb1="00000000"/>
    <w:embedRegular r:id="rId4" w:fontKey="{27B4BC97-1CDB-4CF3-BD0C-5E92556E487B}"/>
  </w:font>
  <w:font w:name="楷体_GB2312">
    <w:altName w:val="楷体"/>
    <w:panose1 w:val="02010609030101010101"/>
    <w:charset w:val="86"/>
    <w:family w:val="modern"/>
    <w:pitch w:val="default"/>
    <w:sig w:usb0="00000000" w:usb1="00000000" w:usb2="00000000" w:usb3="00000000" w:csb0="00040000" w:csb1="00000000"/>
    <w:embedRegular r:id="rId5" w:fontKey="{467480C8-B2BD-4EEA-86C6-74A29ADFDDD2}"/>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543599"/>
    <w:multiLevelType w:val="singleLevel"/>
    <w:tmpl w:val="6454359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1BFD7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TOC1"/>
    <w:basedOn w:val="1"/>
    <w:next w:val="1"/>
    <w:autoRedefine/>
    <w:qFormat/>
    <w:uiPriority w:val="0"/>
    <w:rPr>
      <w:rFonts w:cs="Calibri"/>
    </w:rPr>
  </w:style>
  <w:style w:type="paragraph" w:styleId="3">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2024-04-03T02:26:55Z</dcterms:created>
  <dc:creator>Lenovo</dc:creator>
  <cp:lastModifiedBy>蕙</cp:lastModifiedBy>
  <dcterms:modified xsi:type="dcterms:W3CDTF">2024-04-03T02:27:02Z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4C37804DC1404932A9E92CC2DDCF51C3_12</vt:lpwstr>
  </property>
</Properties>
</file>