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600" w:lineRule="exact"/>
        <w:ind w:left="0" w:right="0"/>
        <w:jc w:val="both"/>
        <w:rPr>
          <w:rFonts w:hint="default" w:ascii="Times New Roman" w:hAnsi="Times New Roman" w:eastAsia="黑体" w:cs="黑体"/>
          <w:sz w:val="32"/>
          <w:szCs w:val="32"/>
          <w:lang w:val="en-US"/>
        </w:rPr>
      </w:pP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黑体"/>
          <w:kern w:val="2"/>
          <w:sz w:val="32"/>
          <w:szCs w:val="32"/>
          <w:lang w:val="en-US" w:eastAsia="zh-CN" w:bidi="ar"/>
        </w:rPr>
        <w:t>2</w:t>
      </w:r>
    </w:p>
    <w:p>
      <w:pPr>
        <w:pStyle w:val="2"/>
        <w:keepNext w:val="0"/>
        <w:keepLines w:val="0"/>
        <w:widowControl w:val="0"/>
        <w:suppressLineNumbers w:val="0"/>
        <w:spacing w:before="0" w:beforeAutospacing="0" w:after="0" w:afterAutospacing="0"/>
        <w:ind w:left="0" w:right="0"/>
        <w:rPr>
          <w:lang w:val="en-US"/>
        </w:rPr>
      </w:pPr>
      <w:bookmarkStart w:id="6" w:name="_GoBack"/>
      <w:bookmarkEnd w:id="6"/>
    </w:p>
    <w:p>
      <w:pPr>
        <w:keepNext w:val="0"/>
        <w:keepLines w:val="0"/>
        <w:widowControl w:val="0"/>
        <w:suppressLineNumbers w:val="0"/>
        <w:spacing w:before="0" w:beforeAutospacing="0" w:after="0" w:afterAutospacing="0" w:line="600" w:lineRule="exact"/>
        <w:ind w:left="0" w:right="0"/>
        <w:jc w:val="center"/>
        <w:rPr>
          <w:rFonts w:hint="eastAsia" w:ascii="方正小标宋简体" w:hAnsi="方正小标宋简体" w:eastAsia="方正小标宋简体" w:cs="方正小标宋简体"/>
          <w:sz w:val="44"/>
          <w:szCs w:val="44"/>
          <w:lang w:val="en-US"/>
        </w:rPr>
      </w:pPr>
      <w:r>
        <w:rPr>
          <w:rFonts w:hint="eastAsia" w:ascii="方正小标宋简体" w:hAnsi="方正小标宋简体" w:eastAsia="方正小标宋简体" w:cs="方正小标宋简体"/>
          <w:kern w:val="2"/>
          <w:sz w:val="44"/>
          <w:szCs w:val="44"/>
          <w:lang w:val="en-US" w:eastAsia="zh-CN" w:bidi="ar"/>
        </w:rPr>
        <w:t>种植业农药使用调查监测方案</w:t>
      </w:r>
    </w:p>
    <w:p>
      <w:pPr>
        <w:keepNext w:val="0"/>
        <w:keepLines w:val="0"/>
        <w:widowControl w:val="0"/>
        <w:suppressLineNumbers w:val="0"/>
        <w:spacing w:before="0" w:beforeAutospacing="0" w:after="0" w:afterAutospacing="0" w:line="600" w:lineRule="exact"/>
        <w:ind w:left="0" w:right="0"/>
        <w:jc w:val="center"/>
        <w:rPr>
          <w:rFonts w:hint="default" w:ascii="Times New Roman" w:hAnsi="Times New Roman" w:eastAsia="小标宋" w:cs="Times New Roman"/>
          <w:sz w:val="44"/>
          <w:szCs w:val="44"/>
          <w:lang w:val="en-US"/>
        </w:rPr>
      </w:pP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黑体" w:cs="Times New Roman"/>
          <w:sz w:val="32"/>
          <w:szCs w:val="32"/>
          <w:lang w:val="en-US"/>
        </w:rPr>
      </w:pPr>
      <w:r>
        <w:rPr>
          <w:rFonts w:hint="eastAsia" w:ascii="Times New Roman" w:hAnsi="Times New Roman" w:eastAsia="黑体" w:cs="黑体"/>
          <w:kern w:val="2"/>
          <w:sz w:val="32"/>
          <w:szCs w:val="32"/>
          <w:lang w:val="en-US" w:eastAsia="zh-CN" w:bidi="ar"/>
        </w:rPr>
        <w:t>一、调查依据</w:t>
      </w:r>
    </w:p>
    <w:p>
      <w:pPr>
        <w:keepNext w:val="0"/>
        <w:keepLines w:val="0"/>
        <w:widowControl w:val="0"/>
        <w:suppressLineNumbers w:val="0"/>
        <w:spacing w:before="0" w:beforeAutospacing="0" w:after="0" w:afterAutospacing="0" w:line="600" w:lineRule="exact"/>
        <w:ind w:left="0" w:right="0" w:firstLine="640" w:firstLineChars="200"/>
        <w:jc w:val="left"/>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《农药管理条例》《农作物病虫害防治条例》《“十四五”全国农药产业发展规划》《到</w:t>
      </w:r>
      <w:r>
        <w:rPr>
          <w:rFonts w:hint="default" w:ascii="Times New Roman" w:hAnsi="Times New Roman" w:eastAsia="仿宋_GB2312" w:cs="仿宋_GB2312"/>
          <w:kern w:val="2"/>
          <w:sz w:val="32"/>
          <w:szCs w:val="32"/>
          <w:lang w:val="en-US" w:eastAsia="zh-CN" w:bidi="ar"/>
        </w:rPr>
        <w:t>2025</w:t>
      </w:r>
      <w:r>
        <w:rPr>
          <w:rFonts w:hint="eastAsia" w:ascii="Times New Roman" w:hAnsi="Times New Roman" w:eastAsia="仿宋_GB2312" w:cs="仿宋_GB2312"/>
          <w:kern w:val="2"/>
          <w:sz w:val="32"/>
          <w:szCs w:val="32"/>
          <w:lang w:val="en-US" w:eastAsia="zh-CN" w:bidi="ar"/>
        </w:rPr>
        <w:t>年化学农药减量化行动方案》。</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黑体" w:cs="Times New Roman"/>
          <w:sz w:val="32"/>
          <w:szCs w:val="32"/>
          <w:lang w:val="en-US"/>
        </w:rPr>
      </w:pPr>
      <w:r>
        <w:rPr>
          <w:rFonts w:hint="eastAsia" w:ascii="Times New Roman" w:hAnsi="Times New Roman" w:eastAsia="黑体" w:cs="黑体"/>
          <w:kern w:val="2"/>
          <w:sz w:val="32"/>
          <w:szCs w:val="32"/>
          <w:lang w:val="en-US" w:eastAsia="zh-CN" w:bidi="ar"/>
        </w:rPr>
        <w:t>二、调查目的</w:t>
      </w:r>
    </w:p>
    <w:p>
      <w:pPr>
        <w:keepNext w:val="0"/>
        <w:keepLines w:val="0"/>
        <w:widowControl/>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掌握我国种植业农药使用情况，为政府部门制定农药管理政策、做好农药安全使用指导、保障农业生产安全提供支撑。</w:t>
      </w:r>
      <w:bookmarkStart w:id="0" w:name="_Toc42763929"/>
      <w:bookmarkStart w:id="1" w:name="_Toc44667508"/>
    </w:p>
    <w:p>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黑体" w:cs="Times New Roman"/>
          <w:sz w:val="32"/>
          <w:szCs w:val="32"/>
          <w:lang w:val="en-US"/>
        </w:rPr>
      </w:pPr>
      <w:r>
        <w:rPr>
          <w:rFonts w:hint="eastAsia" w:ascii="Times New Roman" w:hAnsi="Times New Roman" w:eastAsia="黑体" w:cs="黑体"/>
          <w:kern w:val="2"/>
          <w:sz w:val="32"/>
          <w:szCs w:val="32"/>
          <w:lang w:val="en-US" w:eastAsia="zh-CN" w:bidi="ar"/>
        </w:rPr>
        <w:t>三、调查</w:t>
      </w:r>
      <w:bookmarkEnd w:id="0"/>
      <w:r>
        <w:rPr>
          <w:rFonts w:hint="eastAsia" w:ascii="Times New Roman" w:hAnsi="Times New Roman" w:eastAsia="黑体" w:cs="黑体"/>
          <w:kern w:val="2"/>
          <w:sz w:val="32"/>
          <w:szCs w:val="32"/>
          <w:lang w:val="en-US" w:eastAsia="zh-CN" w:bidi="ar"/>
        </w:rPr>
        <w:t>对象</w:t>
      </w:r>
      <w:bookmarkEnd w:id="1"/>
    </w:p>
    <w:p>
      <w:pPr>
        <w:keepNext w:val="0"/>
        <w:keepLines w:val="0"/>
        <w:widowControl/>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小农户和种植大户、家庭农场、农业生产合作社等新型农业经营主体，以下统称为农户。</w:t>
      </w:r>
    </w:p>
    <w:p>
      <w:pPr>
        <w:keepNext w:val="0"/>
        <w:keepLines w:val="0"/>
        <w:widowControl/>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
      <w:r>
        <w:rPr>
          <w:rFonts w:hint="eastAsia" w:ascii="Times New Roman" w:hAnsi="Times New Roman" w:eastAsia="黑体" w:cs="黑体"/>
          <w:kern w:val="2"/>
          <w:sz w:val="32"/>
          <w:szCs w:val="32"/>
          <w:lang w:val="en-US" w:eastAsia="zh-CN" w:bidi="ar"/>
        </w:rPr>
        <w:t>四、调查时间</w:t>
      </w:r>
    </w:p>
    <w:p>
      <w:pPr>
        <w:keepNext w:val="0"/>
        <w:keepLines w:val="0"/>
        <w:widowControl/>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每年</w:t>
      </w: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仿宋_GB2312"/>
          <w:kern w:val="2"/>
          <w:sz w:val="32"/>
          <w:szCs w:val="32"/>
          <w:lang w:val="en-US" w:eastAsia="zh-CN" w:bidi="ar"/>
        </w:rPr>
        <w:t>日—</w:t>
      </w:r>
      <w:r>
        <w:rPr>
          <w:rFonts w:hint="default" w:ascii="Times New Roman" w:hAnsi="Times New Roman" w:eastAsia="仿宋_GB2312" w:cs="Times New Roman"/>
          <w:kern w:val="2"/>
          <w:sz w:val="32"/>
          <w:szCs w:val="32"/>
          <w:lang w:val="en-US" w:eastAsia="zh-CN" w:bidi="ar"/>
        </w:rPr>
        <w:t>12</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lang w:val="en-US" w:eastAsia="zh-CN" w:bidi="ar"/>
        </w:rPr>
        <w:t>31</w:t>
      </w:r>
      <w:r>
        <w:rPr>
          <w:rFonts w:hint="eastAsia" w:ascii="Times New Roman" w:hAnsi="Times New Roman" w:eastAsia="仿宋_GB2312" w:cs="仿宋_GB2312"/>
          <w:kern w:val="2"/>
          <w:sz w:val="32"/>
          <w:szCs w:val="32"/>
          <w:lang w:val="en-US" w:eastAsia="zh-CN" w:bidi="ar"/>
        </w:rPr>
        <w:t>日。</w:t>
      </w:r>
      <w:bookmarkStart w:id="2" w:name="_Toc44667509"/>
    </w:p>
    <w:p>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黑体" w:cs="Times New Roman"/>
          <w:sz w:val="32"/>
          <w:szCs w:val="32"/>
          <w:lang w:val="en-US"/>
        </w:rPr>
      </w:pPr>
      <w:r>
        <w:rPr>
          <w:rFonts w:hint="eastAsia" w:ascii="Times New Roman" w:hAnsi="Times New Roman" w:eastAsia="黑体" w:cs="黑体"/>
          <w:kern w:val="2"/>
          <w:sz w:val="32"/>
          <w:szCs w:val="32"/>
          <w:lang w:val="en-US" w:eastAsia="zh-CN" w:bidi="ar"/>
        </w:rPr>
        <w:t>五、抽样方法</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仿宋_GB2312"/>
          <w:kern w:val="2"/>
          <w:sz w:val="32"/>
          <w:szCs w:val="32"/>
          <w:lang w:val="en-US" w:eastAsia="zh-CN" w:bidi="ar"/>
        </w:rPr>
        <w:t>）各省以粮食主产区和经济作物优势区为重点，建立一批农药使用监测站点（</w:t>
      </w:r>
      <w:r>
        <w:rPr>
          <w:rFonts w:hint="eastAsia" w:ascii="Times New Roman" w:hAnsi="Times New Roman" w:eastAsia="仿宋_GB2312" w:cs="仿宋_GB2312"/>
          <w:kern w:val="0"/>
          <w:sz w:val="32"/>
          <w:szCs w:val="32"/>
          <w:lang w:val="en-US" w:eastAsia="zh-CN" w:bidi="ar"/>
        </w:rPr>
        <w:t>包括调查县、调查对象等</w:t>
      </w:r>
      <w:r>
        <w:rPr>
          <w:rFonts w:hint="eastAsia" w:ascii="Times New Roman" w:hAnsi="Times New Roman" w:eastAsia="仿宋_GB2312" w:cs="仿宋_GB2312"/>
          <w:kern w:val="2"/>
          <w:sz w:val="32"/>
          <w:szCs w:val="32"/>
          <w:lang w:val="en-US" w:eastAsia="zh-CN" w:bidi="ar"/>
        </w:rPr>
        <w:t>），力争实现农业县全覆盖。</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2</w:t>
      </w:r>
      <w:r>
        <w:rPr>
          <w:rFonts w:hint="eastAsia" w:ascii="Times New Roman" w:hAnsi="Times New Roman" w:eastAsia="仿宋_GB2312" w:cs="仿宋_GB2312"/>
          <w:kern w:val="2"/>
          <w:sz w:val="32"/>
          <w:szCs w:val="32"/>
          <w:lang w:val="en-US" w:eastAsia="zh-CN" w:bidi="ar"/>
        </w:rPr>
        <w:t>）各省综合考虑本辖区内主要作物种类、种植面积、病虫害发生与防治水平、耕作制度、地理环境等，选取有代表性的调查作物（包括粮食作物和经济作物）和调查县。</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3</w:t>
      </w:r>
      <w:r>
        <w:rPr>
          <w:rFonts w:hint="eastAsia" w:ascii="Times New Roman" w:hAnsi="Times New Roman" w:eastAsia="仿宋_GB2312" w:cs="仿宋_GB2312"/>
          <w:kern w:val="2"/>
          <w:sz w:val="32"/>
          <w:szCs w:val="32"/>
          <w:lang w:val="en-US" w:eastAsia="zh-CN" w:bidi="ar"/>
        </w:rPr>
        <w:t>）各调查县选取</w:t>
      </w:r>
      <w:r>
        <w:rPr>
          <w:rFonts w:hint="default" w:ascii="Times New Roman" w:hAnsi="Times New Roman" w:eastAsia="仿宋_GB2312" w:cs="Times New Roman"/>
          <w:kern w:val="2"/>
          <w:sz w:val="32"/>
          <w:szCs w:val="32"/>
          <w:lang w:val="en-US" w:eastAsia="zh-CN" w:bidi="ar"/>
        </w:rPr>
        <w:t>3—5</w:t>
      </w:r>
      <w:r>
        <w:rPr>
          <w:rFonts w:hint="eastAsia" w:ascii="Times New Roman" w:hAnsi="Times New Roman" w:eastAsia="仿宋_GB2312" w:cs="仿宋_GB2312"/>
          <w:kern w:val="2"/>
          <w:sz w:val="32"/>
          <w:szCs w:val="32"/>
          <w:lang w:val="en-US" w:eastAsia="zh-CN" w:bidi="ar"/>
        </w:rPr>
        <w:t>个有代表性的乡镇，每个乡镇随机抽取</w:t>
      </w:r>
      <w:r>
        <w:rPr>
          <w:rFonts w:hint="default" w:ascii="Times New Roman" w:hAnsi="Times New Roman" w:eastAsia="仿宋_GB2312" w:cs="Times New Roman"/>
          <w:kern w:val="2"/>
          <w:sz w:val="32"/>
          <w:szCs w:val="32"/>
          <w:lang w:val="en-US" w:eastAsia="zh-CN" w:bidi="ar"/>
        </w:rPr>
        <w:t>10</w:t>
      </w:r>
      <w:r>
        <w:rPr>
          <w:rFonts w:hint="eastAsia" w:ascii="Times New Roman" w:hAnsi="Times New Roman" w:eastAsia="仿宋_GB2312" w:cs="仿宋_GB2312"/>
          <w:kern w:val="2"/>
          <w:sz w:val="32"/>
          <w:szCs w:val="32"/>
          <w:lang w:val="en-US" w:eastAsia="zh-CN" w:bidi="ar"/>
        </w:rPr>
        <w:t>个农户，兼顾小农户和新型农业经营主体（每个乡镇调查小农户的数量不少于</w:t>
      </w:r>
      <w:r>
        <w:rPr>
          <w:rFonts w:hint="default" w:ascii="Times New Roman" w:hAnsi="Times New Roman" w:eastAsia="仿宋_GB2312" w:cs="Times New Roman"/>
          <w:kern w:val="2"/>
          <w:sz w:val="32"/>
          <w:szCs w:val="32"/>
          <w:lang w:val="en-US" w:eastAsia="zh-CN" w:bidi="ar"/>
        </w:rPr>
        <w:t>2</w:t>
      </w:r>
      <w:r>
        <w:rPr>
          <w:rFonts w:hint="eastAsia" w:ascii="Times New Roman" w:hAnsi="Times New Roman" w:eastAsia="仿宋_GB2312" w:cs="仿宋_GB2312"/>
          <w:kern w:val="2"/>
          <w:sz w:val="32"/>
          <w:szCs w:val="32"/>
          <w:lang w:val="en-US" w:eastAsia="zh-CN" w:bidi="ar"/>
        </w:rPr>
        <w:t>户）。</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4</w:t>
      </w:r>
      <w:r>
        <w:rPr>
          <w:rFonts w:hint="eastAsia" w:ascii="Times New Roman" w:hAnsi="Times New Roman" w:eastAsia="仿宋_GB2312" w:cs="仿宋_GB2312"/>
          <w:kern w:val="2"/>
          <w:sz w:val="32"/>
          <w:szCs w:val="32"/>
          <w:lang w:val="en-US" w:eastAsia="zh-CN" w:bidi="ar"/>
        </w:rPr>
        <w:t>）农户一经确定，当年不得更换；下一年度若确需更换，更换比例不得超过上一年度农户总数量的</w:t>
      </w:r>
      <w:r>
        <w:rPr>
          <w:rFonts w:hint="default" w:ascii="Times New Roman" w:hAnsi="Times New Roman" w:eastAsia="仿宋_GB2312" w:cs="Times New Roman"/>
          <w:kern w:val="2"/>
          <w:sz w:val="32"/>
          <w:szCs w:val="32"/>
          <w:lang w:val="en-US" w:eastAsia="zh-CN" w:bidi="ar"/>
        </w:rPr>
        <w:t>20%</w:t>
      </w:r>
      <w:r>
        <w:rPr>
          <w:rFonts w:hint="eastAsia" w:ascii="Times New Roman" w:hAnsi="Times New Roman" w:eastAsia="仿宋_GB2312" w:cs="仿宋_GB2312"/>
          <w:kern w:val="2"/>
          <w:sz w:val="32"/>
          <w:szCs w:val="32"/>
          <w:lang w:val="en-US" w:eastAsia="zh-CN" w:bidi="ar"/>
        </w:rPr>
        <w:t>。</w:t>
      </w:r>
    </w:p>
    <w:bookmarkEnd w:id="2"/>
    <w:p>
      <w:pPr>
        <w:keepNext w:val="0"/>
        <w:keepLines w:val="0"/>
        <w:widowControl w:val="0"/>
        <w:suppressLineNumbers w:val="0"/>
        <w:spacing w:before="0" w:beforeAutospacing="0" w:after="0" w:afterAutospacing="0" w:line="600" w:lineRule="exact"/>
        <w:ind w:left="0" w:right="0" w:firstLine="640" w:firstLineChars="200"/>
        <w:jc w:val="both"/>
        <w:rPr>
          <w:rFonts w:hint="eastAsia" w:ascii="黑体" w:hAnsi="宋体" w:eastAsia="黑体" w:cs="黑体"/>
          <w:bCs/>
          <w:sz w:val="32"/>
          <w:szCs w:val="32"/>
          <w:lang w:val="en-US"/>
        </w:rPr>
      </w:pPr>
      <w:bookmarkStart w:id="3" w:name="_Toc44667510"/>
      <w:r>
        <w:rPr>
          <w:rFonts w:hint="eastAsia" w:ascii="黑体" w:hAnsi="宋体" w:eastAsia="黑体" w:cs="黑体"/>
          <w:bCs/>
          <w:kern w:val="2"/>
          <w:sz w:val="32"/>
          <w:szCs w:val="32"/>
          <w:lang w:val="en-US" w:eastAsia="zh-CN" w:bidi="ar"/>
        </w:rPr>
        <w:t>六、</w:t>
      </w:r>
      <w:bookmarkEnd w:id="3"/>
      <w:r>
        <w:rPr>
          <w:rFonts w:hint="eastAsia" w:ascii="黑体" w:hAnsi="宋体" w:eastAsia="黑体" w:cs="黑体"/>
          <w:bCs/>
          <w:kern w:val="2"/>
          <w:sz w:val="32"/>
          <w:szCs w:val="32"/>
          <w:lang w:val="en-US" w:eastAsia="zh-CN" w:bidi="ar"/>
        </w:rPr>
        <w:t>填报要求</w:t>
      </w:r>
    </w:p>
    <w:p>
      <w:pPr>
        <w:keepNext w:val="0"/>
        <w:keepLines w:val="0"/>
        <w:widowControl/>
        <w:suppressLineNumbers w:val="0"/>
        <w:spacing w:before="0" w:beforeAutospacing="0" w:after="0" w:afterAutospacing="0" w:line="600" w:lineRule="exact"/>
        <w:ind w:left="0" w:right="0" w:firstLine="643" w:firstLineChars="200"/>
        <w:jc w:val="both"/>
        <w:rPr>
          <w:rFonts w:hint="default" w:ascii="Times New Roman" w:hAnsi="Times New Roman" w:eastAsia="楷体_GB2312" w:cs="Times New Roman"/>
          <w:b/>
          <w:bCs w:val="0"/>
          <w:sz w:val="32"/>
          <w:szCs w:val="32"/>
          <w:lang w:val="en-US"/>
        </w:rPr>
      </w:pPr>
      <w:r>
        <w:rPr>
          <w:rFonts w:hint="eastAsia" w:ascii="Times New Roman" w:hAnsi="Times New Roman" w:eastAsia="楷体_GB2312" w:cs="楷体_GB2312"/>
          <w:b/>
          <w:bCs w:val="0"/>
          <w:kern w:val="2"/>
          <w:sz w:val="32"/>
          <w:szCs w:val="32"/>
          <w:lang w:val="en-US" w:eastAsia="zh-CN" w:bidi="ar"/>
        </w:rPr>
        <w:t>（一）农户：</w:t>
      </w:r>
    </w:p>
    <w:p>
      <w:pPr>
        <w:keepNext w:val="0"/>
        <w:keepLines w:val="0"/>
        <w:widowControl/>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仿宋_GB2312"/>
          <w:kern w:val="2"/>
          <w:sz w:val="32"/>
          <w:szCs w:val="32"/>
          <w:lang w:val="en-US" w:eastAsia="zh-CN" w:bidi="ar"/>
        </w:rPr>
        <w:t>）各农户要准确填写《农户基本信息表》《农户农作物种植情况表》，按照随用随记的原则，如实记录《农户购买与使用农药信息表》，记录要涵盖作物全生育期所有用药信息，包括种子处理、病虫草害防治、田埂除草，以及专业化防治服务组织代防的情况、当地政府统一组织的统防统治情况等；</w:t>
      </w:r>
    </w:p>
    <w:p>
      <w:pPr>
        <w:keepNext w:val="0"/>
        <w:keepLines w:val="0"/>
        <w:widowControl/>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2</w:t>
      </w:r>
      <w:r>
        <w:rPr>
          <w:rFonts w:hint="eastAsia" w:ascii="Times New Roman" w:hAnsi="Times New Roman" w:eastAsia="仿宋_GB2312" w:cs="仿宋_GB2312"/>
          <w:kern w:val="2"/>
          <w:sz w:val="32"/>
          <w:szCs w:val="32"/>
          <w:lang w:val="en-US" w:eastAsia="zh-CN" w:bidi="ar"/>
        </w:rPr>
        <w:t>）对于生育期不跨年度的作物（如水稻等）和多年生作物（如果树等），在使用农药后及时、准确记录当年度的农药使用信息；</w:t>
      </w:r>
    </w:p>
    <w:p>
      <w:pPr>
        <w:keepNext w:val="0"/>
        <w:keepLines w:val="0"/>
        <w:widowControl/>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3</w:t>
      </w:r>
      <w:r>
        <w:rPr>
          <w:rFonts w:hint="eastAsia" w:ascii="Times New Roman" w:hAnsi="Times New Roman" w:eastAsia="仿宋_GB2312" w:cs="仿宋_GB2312"/>
          <w:kern w:val="2"/>
          <w:sz w:val="32"/>
          <w:szCs w:val="32"/>
          <w:lang w:val="en-US" w:eastAsia="zh-CN" w:bidi="ar"/>
        </w:rPr>
        <w:t>）对于生育期跨年度的作物（如冬小麦），其全生育期的农药使用信息要记录到收获年度（即下一年度）。</w:t>
      </w:r>
      <w:bookmarkStart w:id="4" w:name="_Toc42763930"/>
      <w:bookmarkStart w:id="5" w:name="_Toc44667511"/>
    </w:p>
    <w:p>
      <w:pPr>
        <w:keepNext w:val="0"/>
        <w:keepLines w:val="0"/>
        <w:widowControl/>
        <w:suppressLineNumbers w:val="0"/>
        <w:spacing w:before="0" w:beforeAutospacing="0" w:after="0" w:afterAutospacing="0" w:line="600" w:lineRule="exact"/>
        <w:ind w:left="0" w:right="0" w:firstLine="643" w:firstLineChars="200"/>
        <w:jc w:val="both"/>
        <w:rPr>
          <w:rFonts w:hint="default" w:ascii="Times New Roman" w:hAnsi="Times New Roman" w:eastAsia="楷体_GB2312" w:cs="Times New Roman"/>
          <w:b/>
          <w:bCs w:val="0"/>
          <w:sz w:val="32"/>
          <w:szCs w:val="32"/>
          <w:lang w:val="en-US"/>
        </w:rPr>
      </w:pPr>
      <w:r>
        <w:rPr>
          <w:rFonts w:hint="eastAsia" w:ascii="Times New Roman" w:hAnsi="Times New Roman" w:eastAsia="楷体_GB2312" w:cs="楷体_GB2312"/>
          <w:b/>
          <w:bCs w:val="0"/>
          <w:kern w:val="2"/>
          <w:sz w:val="32"/>
          <w:szCs w:val="32"/>
          <w:lang w:val="en-US" w:eastAsia="zh-CN" w:bidi="ar"/>
        </w:rPr>
        <w:t>（二）县级调查人员：</w:t>
      </w:r>
    </w:p>
    <w:p>
      <w:pPr>
        <w:keepNext w:val="0"/>
        <w:keepLines w:val="0"/>
        <w:widowControl/>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仿宋_GB2312"/>
          <w:kern w:val="2"/>
          <w:sz w:val="32"/>
          <w:szCs w:val="32"/>
          <w:lang w:val="en-US" w:eastAsia="zh-CN" w:bidi="ar"/>
        </w:rPr>
        <w:t>）登录中华人民共和国农业农村部政务信息系统管理平台</w:t>
      </w:r>
      <w:r>
        <w:rPr>
          <w:rFonts w:hint="default" w:ascii="Times New Roman" w:hAnsi="Times New Roman" w:eastAsia="仿宋_GB2312" w:cs="Times New Roman"/>
          <w:kern w:val="2"/>
          <w:sz w:val="32"/>
          <w:szCs w:val="32"/>
          <w:lang w:val="en-US" w:eastAsia="zh-CN" w:bidi="ar"/>
        </w:rPr>
        <w:t xml:space="preserve"> (</w:t>
      </w:r>
      <w:r>
        <w:rPr>
          <w:rFonts w:hint="default" w:ascii="Calibri" w:hAnsi="Calibri" w:eastAsia="宋体" w:cs="Times New Roman"/>
          <w:kern w:val="2"/>
          <w:sz w:val="21"/>
          <w:szCs w:val="22"/>
          <w:lang w:val="en-US" w:eastAsia="zh-CN" w:bidi="ar"/>
        </w:rPr>
        <w:fldChar w:fldCharType="begin"/>
      </w:r>
      <w:r>
        <w:rPr>
          <w:rFonts w:hint="default" w:ascii="Calibri" w:hAnsi="Calibri" w:eastAsia="宋体" w:cs="Times New Roman"/>
          <w:kern w:val="2"/>
          <w:sz w:val="21"/>
          <w:szCs w:val="22"/>
          <w:lang w:val="en-US" w:eastAsia="zh-CN" w:bidi="ar"/>
        </w:rPr>
        <w:instrText xml:space="preserve"> HYPERLINK "https://portal.agri.cn" </w:instrText>
      </w:r>
      <w:r>
        <w:rPr>
          <w:rFonts w:hint="default" w:ascii="Calibri" w:hAnsi="Calibri" w:eastAsia="宋体" w:cs="Times New Roman"/>
          <w:kern w:val="2"/>
          <w:sz w:val="21"/>
          <w:szCs w:val="22"/>
          <w:lang w:val="en-US" w:eastAsia="zh-CN" w:bidi="ar"/>
        </w:rPr>
        <w:fldChar w:fldCharType="separate"/>
      </w:r>
      <w:r>
        <w:rPr>
          <w:rStyle w:val="6"/>
          <w:rFonts w:hint="default" w:ascii="Times New Roman" w:hAnsi="Times New Roman" w:eastAsia="仿宋_GB2312" w:cs="Times New Roman"/>
          <w:sz w:val="32"/>
          <w:szCs w:val="32"/>
          <w:u w:val="single"/>
          <w:lang w:val="en-US"/>
        </w:rPr>
        <w:t>https://portal.agri.cn</w:t>
      </w:r>
      <w:r>
        <w:rPr>
          <w:rFonts w:hint="default" w:ascii="Calibri" w:hAnsi="Calibri" w:eastAsia="宋体" w:cs="Times New Roman"/>
          <w:kern w:val="2"/>
          <w:sz w:val="21"/>
          <w:szCs w:val="22"/>
          <w:lang w:val="en-US" w:eastAsia="zh-CN" w:bidi="ar"/>
        </w:rPr>
        <w:fldChar w:fldCharType="end"/>
      </w:r>
      <w:r>
        <w:rPr>
          <w:rFonts w:hint="default" w:ascii="Times New Roman" w:hAnsi="Times New Roman" w:eastAsia="仿宋_GB2312" w:cs="Times New Roman"/>
          <w:kern w:val="2"/>
          <w:sz w:val="32"/>
          <w:szCs w:val="32"/>
          <w:lang w:val="en-US" w:eastAsia="zh-CN" w:bidi="ar"/>
        </w:rPr>
        <w:t>)</w:t>
      </w:r>
      <w:r>
        <w:rPr>
          <w:rFonts w:hint="eastAsia" w:ascii="Times New Roman" w:hAnsi="Times New Roman" w:eastAsia="仿宋_GB2312" w:cs="仿宋_GB2312"/>
          <w:kern w:val="2"/>
          <w:sz w:val="32"/>
          <w:szCs w:val="32"/>
          <w:lang w:val="en-US" w:eastAsia="zh-CN" w:bidi="ar"/>
        </w:rPr>
        <w:t>；系统运维人员：王福聪，</w:t>
      </w:r>
      <w:r>
        <w:rPr>
          <w:rFonts w:hint="default" w:ascii="Times New Roman" w:hAnsi="Times New Roman" w:eastAsia="仿宋_GB2312" w:cs="Times New Roman"/>
          <w:kern w:val="2"/>
          <w:sz w:val="32"/>
          <w:szCs w:val="32"/>
          <w:lang w:val="en-US" w:eastAsia="zh-CN" w:bidi="ar"/>
        </w:rPr>
        <w:t>18235403698</w:t>
      </w:r>
      <w:r>
        <w:rPr>
          <w:rFonts w:hint="eastAsia" w:ascii="Times New Roman" w:hAnsi="Times New Roman" w:eastAsia="仿宋_GB2312" w:cs="仿宋_GB2312"/>
          <w:kern w:val="2"/>
          <w:sz w:val="32"/>
          <w:szCs w:val="32"/>
          <w:lang w:val="en-US" w:eastAsia="zh-CN" w:bidi="ar"/>
        </w:rPr>
        <w:t>（微信同号），下载农药使用记录表格（共</w:t>
      </w:r>
      <w:r>
        <w:rPr>
          <w:rFonts w:hint="default" w:ascii="Times New Roman" w:hAnsi="Times New Roman" w:eastAsia="仿宋_GB2312" w:cs="Times New Roman"/>
          <w:kern w:val="2"/>
          <w:sz w:val="32"/>
          <w:szCs w:val="32"/>
          <w:lang w:val="en-US" w:eastAsia="zh-CN" w:bidi="ar"/>
        </w:rPr>
        <w:t>3</w:t>
      </w:r>
      <w:r>
        <w:rPr>
          <w:rFonts w:hint="eastAsia" w:ascii="Times New Roman" w:hAnsi="Times New Roman" w:eastAsia="仿宋_GB2312" w:cs="仿宋_GB2312"/>
          <w:kern w:val="2"/>
          <w:sz w:val="32"/>
          <w:szCs w:val="32"/>
          <w:lang w:val="en-US" w:eastAsia="zh-CN" w:bidi="ar"/>
        </w:rPr>
        <w:t>个表，《农户基本信息表》《农户农作物种植情况表》《农户购买与使用农药信息表》），并及时发放给农户。</w:t>
      </w:r>
    </w:p>
    <w:p>
      <w:pPr>
        <w:keepNext w:val="0"/>
        <w:keepLines w:val="0"/>
        <w:widowControl/>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2</w:t>
      </w:r>
      <w:r>
        <w:rPr>
          <w:rFonts w:hint="eastAsia" w:ascii="Times New Roman" w:hAnsi="Times New Roman" w:eastAsia="仿宋_GB2312" w:cs="仿宋_GB2312"/>
          <w:kern w:val="2"/>
          <w:sz w:val="32"/>
          <w:szCs w:val="32"/>
          <w:lang w:val="en-US" w:eastAsia="zh-CN" w:bidi="ar"/>
        </w:rPr>
        <w:t>）培训指导农户及时做好农药购买与使用记录，定期检查、收集记录表格，确保记录真实、有效、完整。</w:t>
      </w:r>
    </w:p>
    <w:p>
      <w:pPr>
        <w:keepNext w:val="0"/>
        <w:keepLines w:val="0"/>
        <w:widowControl/>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3</w:t>
      </w:r>
      <w:r>
        <w:rPr>
          <w:rFonts w:hint="eastAsia" w:ascii="Times New Roman" w:hAnsi="Times New Roman" w:eastAsia="仿宋_GB2312" w:cs="仿宋_GB2312"/>
          <w:kern w:val="2"/>
          <w:sz w:val="32"/>
          <w:szCs w:val="32"/>
          <w:lang w:val="en-US" w:eastAsia="zh-CN" w:bidi="ar"/>
        </w:rPr>
        <w:t>）登录中华人民共和国农业农村部政务信息系统管理平台，以农户为单元，按时录入调查数据，并做好数据审核和上报。每年的数据录入与审核工作，于当年</w:t>
      </w:r>
      <w:r>
        <w:rPr>
          <w:rFonts w:hint="default" w:ascii="Times New Roman" w:hAnsi="Times New Roman" w:eastAsia="仿宋_GB2312" w:cs="Times New Roman"/>
          <w:kern w:val="2"/>
          <w:sz w:val="32"/>
          <w:szCs w:val="32"/>
          <w:lang w:val="en-US" w:eastAsia="zh-CN" w:bidi="ar"/>
        </w:rPr>
        <w:t>11</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lang w:val="en-US" w:eastAsia="zh-CN" w:bidi="ar"/>
        </w:rPr>
        <w:t>15</w:t>
      </w:r>
      <w:r>
        <w:rPr>
          <w:rFonts w:hint="eastAsia" w:ascii="Times New Roman" w:hAnsi="Times New Roman" w:eastAsia="仿宋_GB2312" w:cs="仿宋_GB2312"/>
          <w:kern w:val="2"/>
          <w:sz w:val="32"/>
          <w:szCs w:val="32"/>
          <w:lang w:val="en-US" w:eastAsia="zh-CN" w:bidi="ar"/>
        </w:rPr>
        <w:t>日前完成。</w:t>
      </w:r>
    </w:p>
    <w:p>
      <w:pPr>
        <w:keepNext w:val="0"/>
        <w:keepLines w:val="0"/>
        <w:widowControl w:val="0"/>
        <w:suppressLineNumbers w:val="0"/>
        <w:spacing w:before="0" w:beforeAutospacing="0" w:after="0" w:afterAutospacing="0" w:line="600" w:lineRule="exact"/>
        <w:ind w:left="0" w:right="0" w:firstLine="643" w:firstLineChars="200"/>
        <w:jc w:val="left"/>
        <w:rPr>
          <w:rFonts w:hint="default" w:ascii="Times New Roman" w:hAnsi="Times New Roman" w:eastAsia="楷体_GB2312" w:cs="Times New Roman"/>
          <w:b/>
          <w:bCs w:val="0"/>
          <w:sz w:val="32"/>
          <w:szCs w:val="32"/>
          <w:lang w:val="en-US"/>
        </w:rPr>
      </w:pPr>
      <w:r>
        <w:rPr>
          <w:rFonts w:hint="eastAsia" w:ascii="Times New Roman" w:hAnsi="Times New Roman" w:eastAsia="楷体_GB2312" w:cs="楷体_GB2312"/>
          <w:b/>
          <w:bCs w:val="0"/>
          <w:kern w:val="2"/>
          <w:sz w:val="32"/>
          <w:szCs w:val="32"/>
          <w:lang w:val="en-US" w:eastAsia="zh-CN" w:bidi="ar"/>
        </w:rPr>
        <w:t>（三）</w:t>
      </w:r>
      <w:bookmarkEnd w:id="4"/>
      <w:bookmarkEnd w:id="5"/>
      <w:r>
        <w:rPr>
          <w:rFonts w:hint="eastAsia" w:ascii="Times New Roman" w:hAnsi="Times New Roman" w:eastAsia="楷体_GB2312" w:cs="楷体_GB2312"/>
          <w:b/>
          <w:bCs w:val="0"/>
          <w:kern w:val="2"/>
          <w:sz w:val="32"/>
          <w:szCs w:val="32"/>
          <w:lang w:val="en-US" w:eastAsia="zh-CN" w:bidi="ar"/>
        </w:rPr>
        <w:t>各级植保机构：</w:t>
      </w:r>
    </w:p>
    <w:p>
      <w:pPr>
        <w:keepNext w:val="0"/>
        <w:keepLines w:val="0"/>
        <w:widowControl w:val="0"/>
        <w:suppressLineNumbers w:val="0"/>
        <w:spacing w:before="0" w:beforeAutospacing="0" w:after="0" w:afterAutospacing="0" w:line="600" w:lineRule="exact"/>
        <w:ind w:left="0" w:right="0" w:firstLine="640" w:firstLineChars="200"/>
        <w:jc w:val="left"/>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省、市、县等各级植保机构，通过中华人民共和国农业农村部政务信息系统管理平台对调查数据进行校对、审核、上报，并于当年年底填报本年度《本辖区农作物种植情况表》（在“管理系统—植保站基本信息”模块中在线填报）；对于有误数据要及时退回修正。</w:t>
      </w:r>
    </w:p>
    <w:p/>
    <w:sectPr>
      <w:pgSz w:w="12240" w:h="15840"/>
      <w:pgMar w:top="1440" w:right="1800" w:bottom="1440" w:left="1800" w:header="720" w:footer="720" w:gutter="0"/>
      <w:paperSrc/>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95C0F9D-5AE2-43BF-9C5E-7F417BA3924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108259E3-AF81-4730-A017-1B49EDBB7519}"/>
  </w:font>
  <w:font w:name="楷体_GB2312">
    <w:altName w:val="楷体"/>
    <w:panose1 w:val="00000000000000000000"/>
    <w:charset w:val="86"/>
    <w:family w:val="auto"/>
    <w:pitch w:val="default"/>
    <w:sig w:usb0="00000001" w:usb1="080E0000" w:usb2="00000000" w:usb3="00000000" w:csb0="00040000" w:csb1="00000000"/>
    <w:embedRegular r:id="rId3" w:fontKey="{E65212B3-864C-4A32-B7B8-3985A4EDA2EC}"/>
  </w:font>
  <w:font w:name="Cambria Math">
    <w:panose1 w:val="02040503050406030204"/>
    <w:charset w:val="00"/>
    <w:family w:val="auto"/>
    <w:pitch w:val="variable"/>
    <w:sig w:usb0="E00006FF" w:usb1="420024FF" w:usb2="02000000" w:usb3="00000000" w:csb0="2000019F" w:csb1="00000000"/>
  </w:font>
  <w:font w:name="方正小标宋简体">
    <w:panose1 w:val="02000000000000000000"/>
    <w:charset w:val="86"/>
    <w:family w:val="auto"/>
    <w:pitch w:val="variable"/>
    <w:sig w:usb0="A00002BF" w:usb1="184F6CFA" w:usb2="00000012" w:usb3="00000000" w:csb0="00040001" w:csb1="00000000"/>
    <w:embedRegular r:id="rId4" w:fontKey="{B8AB6211-E282-4F14-BA43-AA7C82216B78}"/>
  </w:font>
  <w:font w:name="仿宋_GB2312">
    <w:panose1 w:val="02010609030101010101"/>
    <w:charset w:val="86"/>
    <w:family w:val="auto"/>
    <w:pitch w:val="fixed"/>
    <w:sig w:usb0="00000001" w:usb1="080E0000" w:usb2="00000000" w:usb3="00000000" w:csb0="00040000" w:csb1="00000000"/>
    <w:embedRegular r:id="rId5" w:fontKey="{BFBE45D7-37E9-4BDB-99D1-55C6DC039FD1}"/>
  </w:font>
  <w:font w:name="小标宋">
    <w:altName w:val="微软雅黑"/>
    <w:panose1 w:val="00000000000000000000"/>
    <w:charset w:val="86"/>
    <w:family w:val="auto"/>
    <w:pitch w:val="default"/>
    <w:sig w:usb0="00000001" w:usb1="080E0000" w:usb2="00000010" w:usb3="00000000" w:csb0="00040000" w:csb1="00000000"/>
    <w:embedRegular r:id="rId6" w:fontKey="{0AF97689-BF9C-498C-A970-02FE6BC121EB}"/>
  </w:font>
  <w:font w:name="@仿宋_GB2312">
    <w:panose1 w:val="02010609030101010101"/>
    <w:charset w:val="86"/>
    <w:family w:val="auto"/>
    <w:pitch w:val="fixed"/>
    <w:sig w:usb0="00000001" w:usb1="080E0000" w:usb2="00000000" w:usb3="00000000" w:csb0="00040000" w:csb1="00000000"/>
  </w:font>
  <w:font w:name="@小标宋">
    <w:altName w:val="宋体"/>
    <w:panose1 w:val="00000000000000000000"/>
    <w:charset w:val="86"/>
    <w:family w:val="auto"/>
    <w:pitch w:val="default"/>
    <w:sig w:usb0="00000001" w:usb1="080E0000" w:usb2="00000010" w:usb3="00000000" w:csb0="00040000" w:csb1="00000000"/>
  </w:font>
  <w:font w:name="@黑体">
    <w:panose1 w:val="02010609060101010101"/>
    <w:charset w:val="86"/>
    <w:family w:val="auto"/>
    <w:pitch w:val="fixed"/>
    <w:sig w:usb0="800002BF" w:usb1="38CF7CFA" w:usb2="00000016" w:usb3="00000000" w:csb0="00040001" w:csb1="00000000"/>
  </w:font>
  <w:font w:name="@楷体_GB2312">
    <w:altName w:val="宋体"/>
    <w:panose1 w:val="00000000000000000000"/>
    <w:charset w:val="86"/>
    <w:family w:val="auto"/>
    <w:pitch w:val="default"/>
    <w:sig w:usb0="00000001" w:usb1="080E0000" w:usb2="00000000" w:usb3="00000000" w:csb0="00040000" w:csb1="00000000"/>
  </w:font>
  <w:font w:name="@宋体">
    <w:panose1 w:val="02010600030101010101"/>
    <w:charset w:val="86"/>
    <w:family w:val="auto"/>
    <w:pitch w:val="variable"/>
    <w:sig w:usb0="00000203" w:usb1="288F0000" w:usb2="00000006" w:usb3="00000000" w:csb0="00040001" w:csb1="00000000"/>
  </w:font>
  <w:font w:name="@方正小标宋简体">
    <w:panose1 w:val="02000000000000000000"/>
    <w:charset w:val="86"/>
    <w:family w:val="auto"/>
    <w:pitch w:val="variable"/>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4ODQ3ODhhNjNlYjA4NGIyNGJmMGMxZTk1NGY3NjcifQ=="/>
  </w:docVars>
  <w:rsids>
    <w:rsidRoot w:val="00000000"/>
    <w:rsid w:val="6AE54B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link w:val="7"/>
    <w:semiHidden/>
    <w:unhideWhenUsed/>
    <w:qFormat/>
    <w:uiPriority w:val="0"/>
    <w:pPr>
      <w:keepNext/>
      <w:keepLines/>
      <w:widowControl w:val="0"/>
      <w:suppressLineNumbers w:val="0"/>
      <w:spacing w:before="260" w:beforeAutospacing="0" w:after="260" w:afterAutospacing="0" w:line="415" w:lineRule="auto"/>
      <w:ind w:left="0" w:right="0"/>
      <w:jc w:val="both"/>
      <w:outlineLvl w:val="2"/>
    </w:pPr>
    <w:rPr>
      <w:rFonts w:hint="default" w:ascii="Calibri" w:hAnsi="Calibri" w:eastAsia="宋体" w:cs="Times New Roman"/>
      <w:b/>
      <w:bCs/>
      <w:kern w:val="2"/>
      <w:sz w:val="32"/>
      <w:szCs w:val="32"/>
      <w:lang w:val="en-US" w:eastAsia="zh-CN" w:bidi="ar"/>
    </w:rPr>
  </w:style>
  <w:style w:type="character" w:default="1" w:styleId="4">
    <w:name w:val="Default Paragraph Font"/>
    <w:semiHidden/>
    <w:uiPriority w:val="0"/>
  </w:style>
  <w:style w:type="table" w:default="1" w:styleId="3">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character" w:styleId="5">
    <w:name w:val="FollowedHyperlink"/>
    <w:basedOn w:val="4"/>
    <w:uiPriority w:val="0"/>
    <w:rPr>
      <w:color w:val="954F72"/>
      <w:u w:val="single"/>
    </w:rPr>
  </w:style>
  <w:style w:type="character" w:styleId="6">
    <w:name w:val="Hyperlink"/>
    <w:basedOn w:val="4"/>
    <w:uiPriority w:val="0"/>
    <w:rPr>
      <w:color w:val="0563C1"/>
      <w:u w:val="single"/>
    </w:rPr>
  </w:style>
  <w:style w:type="character" w:customStyle="1" w:styleId="7">
    <w:name w:val="标题 3 字符"/>
    <w:basedOn w:val="4"/>
    <w:link w:val="2"/>
    <w:uiPriority w:val="0"/>
    <w:rPr>
      <w:b/>
      <w:bCs/>
      <w:kern w:val="2"/>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2024-08-08T01:38:53Z</dcterms:created>
  <dc:creator>Lenovo</dc:creator>
  <cp:lastModifiedBy>蕙</cp:lastModifiedBy>
  <dcterms:modified xsi:type="dcterms:W3CDTF">2024-08-08T01:39:12Z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4085C5F1B6EE45288E6CE332F8F48BA1_12</vt:lpwstr>
  </property>
</Properties>
</file>