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rPr>
          <w:rFonts w:ascii="Times New Roman" w:hAnsi="Times New Roman" w:eastAsia="仿宋_GB2312" w:cs="Times New Roman"/>
          <w:color w:val="FF0000"/>
          <w:sz w:val="32"/>
          <w:szCs w:val="20"/>
        </w:rPr>
      </w:pPr>
    </w:p>
    <w:p>
      <w:pPr>
        <w:adjustRightInd w:val="0"/>
        <w:snapToGrid w:val="0"/>
        <w:spacing w:line="600" w:lineRule="exact"/>
        <w:jc w:val="center"/>
        <w:rPr>
          <w:rFonts w:ascii="Times New Roman" w:hAnsi="Times New Roman" w:eastAsia="仿宋_GB2312" w:cs="Times New Roman"/>
          <w:color w:val="FF0000"/>
          <w:sz w:val="32"/>
          <w:szCs w:val="20"/>
        </w:rPr>
      </w:pPr>
    </w:p>
    <w:p>
      <w:pPr>
        <w:adjustRightInd w:val="0"/>
        <w:snapToGrid w:val="0"/>
        <w:spacing w:line="600" w:lineRule="exact"/>
        <w:jc w:val="center"/>
        <w:rPr>
          <w:rFonts w:ascii="Times New Roman" w:hAnsi="Times New Roman" w:eastAsia="仿宋_GB2312" w:cs="Times New Roman"/>
          <w:color w:val="000000"/>
          <w:sz w:val="32"/>
          <w:szCs w:val="20"/>
        </w:rPr>
      </w:pPr>
      <w:r>
        <w:rPr>
          <w:rFonts w:ascii="Times New Roman" w:hAnsi="Times New Roman" w:eastAsia="仿宋_GB2312" w:cs="Times New Roman"/>
          <w:color w:val="000000"/>
          <w:sz w:val="32"/>
          <w:szCs w:val="20"/>
        </w:rPr>
        <w:t xml:space="preserve">                               农技科函〔20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20"/>
        </w:rPr>
        <w:t>24</w:t>
      </w:r>
      <w:r>
        <w:rPr>
          <w:rFonts w:ascii="Times New Roman" w:hAnsi="Times New Roman" w:eastAsia="仿宋_GB2312" w:cs="Times New Roman"/>
          <w:color w:val="000000"/>
          <w:sz w:val="32"/>
          <w:szCs w:val="20"/>
        </w:rPr>
        <w:t>〕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20"/>
          <w:lang w:val="en-US" w:eastAsia="zh-CN"/>
        </w:rPr>
        <w:t>256</w:t>
      </w:r>
      <w:r>
        <w:rPr>
          <w:rFonts w:ascii="Times New Roman" w:hAnsi="Times New Roman" w:eastAsia="仿宋_GB2312" w:cs="Times New Roman"/>
          <w:color w:val="000000"/>
          <w:sz w:val="32"/>
          <w:szCs w:val="20"/>
        </w:rPr>
        <w:t>号</w:t>
      </w:r>
    </w:p>
    <w:p>
      <w:pPr>
        <w:adjustRightInd w:val="0"/>
        <w:snapToGrid w:val="0"/>
        <w:spacing w:line="600" w:lineRule="exact"/>
        <w:jc w:val="center"/>
        <w:rPr>
          <w:rFonts w:ascii="Times New Roman" w:hAnsi="Times New Roman" w:eastAsia="仿宋_GB2312" w:cs="Times New Roman"/>
          <w:color w:val="FF0000"/>
          <w:sz w:val="32"/>
          <w:szCs w:val="20"/>
        </w:rPr>
      </w:pPr>
    </w:p>
    <w:p>
      <w:pPr>
        <w:adjustRightInd w:val="0"/>
        <w:snapToGrid w:val="0"/>
        <w:spacing w:line="600" w:lineRule="exact"/>
        <w:jc w:val="center"/>
        <w:rPr>
          <w:rFonts w:ascii="Times New Roman" w:hAnsi="Times New Roman" w:eastAsia="小标宋" w:cs="Times New Roman"/>
          <w:bCs/>
          <w:color w:val="FF0000"/>
          <w:sz w:val="44"/>
          <w:szCs w:val="44"/>
        </w:rPr>
      </w:pPr>
    </w:p>
    <w:p>
      <w:pPr>
        <w:adjustRightInd w:val="0"/>
        <w:snapToGrid w:val="0"/>
        <w:spacing w:line="600" w:lineRule="exact"/>
        <w:jc w:val="center"/>
        <w:rPr>
          <w:rFonts w:ascii="小标宋" w:eastAsia="小标宋"/>
          <w:sz w:val="44"/>
          <w:szCs w:val="44"/>
        </w:rPr>
      </w:pPr>
      <w:r>
        <w:rPr>
          <w:rFonts w:hint="eastAsia" w:ascii="小标宋" w:eastAsia="小标宋"/>
          <w:sz w:val="44"/>
          <w:szCs w:val="44"/>
        </w:rPr>
        <w:t>全国农技中心关于征集种植业技术推广</w:t>
      </w:r>
    </w:p>
    <w:p>
      <w:pPr>
        <w:adjustRightInd w:val="0"/>
        <w:snapToGrid w:val="0"/>
        <w:spacing w:line="600" w:lineRule="exact"/>
        <w:jc w:val="center"/>
        <w:rPr>
          <w:rFonts w:ascii="小标宋" w:eastAsia="小标宋"/>
          <w:sz w:val="44"/>
          <w:szCs w:val="44"/>
        </w:rPr>
      </w:pPr>
      <w:r>
        <w:rPr>
          <w:rFonts w:hint="eastAsia" w:ascii="小标宋" w:eastAsia="小标宋"/>
          <w:sz w:val="44"/>
          <w:szCs w:val="44"/>
        </w:rPr>
        <w:t>典型案例的通知</w:t>
      </w:r>
    </w:p>
    <w:p>
      <w:pPr>
        <w:adjustRightInd w:val="0"/>
        <w:snapToGrid w:val="0"/>
        <w:spacing w:line="600" w:lineRule="exact"/>
        <w:rPr>
          <w:rFonts w:ascii="仿宋_GB2312" w:eastAsia="仿宋_GB2312"/>
          <w:sz w:val="32"/>
        </w:rPr>
      </w:pPr>
    </w:p>
    <w:p>
      <w:pPr>
        <w:adjustRightInd w:val="0"/>
        <w:snapToGrid w:val="0"/>
        <w:spacing w:line="600" w:lineRule="exact"/>
        <w:rPr>
          <w:rFonts w:hint="eastAsia" w:ascii="仿宋_GB2312" w:eastAsia="仿宋_GB2312"/>
          <w:sz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</w:rPr>
        <w:t>各省、自治区、直辖市农技（种子、植保、土肥）站（中心），天津市、辽宁省农业发展服务中心，内蒙古自治区农牧业技术推广中心，江西省农业农村产业发展服务中心，广东省农业有害生物预警防控中心，新疆生产建设兵团农技推广站、种子管理站，北大荒农垦集团农业发展部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：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仿宋_GB2312" w:eastAsia="仿宋_GB2312"/>
          <w:sz w:val="32"/>
          <w:lang w:eastAsia="zh-CN"/>
        </w:rPr>
        <w:t>为深入</w:t>
      </w:r>
      <w:r>
        <w:rPr>
          <w:rFonts w:hint="eastAsia" w:ascii="仿宋_GB2312" w:eastAsia="仿宋_GB2312"/>
          <w:sz w:val="32"/>
        </w:rPr>
        <w:t>贯彻落实习近平总书记关于</w:t>
      </w:r>
      <w:r>
        <w:rPr>
          <w:rFonts w:hint="eastAsia" w:ascii="仿宋_GB2312" w:eastAsia="仿宋_GB2312"/>
          <w:sz w:val="32"/>
          <w:lang w:eastAsia="zh-CN"/>
        </w:rPr>
        <w:t>基层</w:t>
      </w:r>
      <w:r>
        <w:rPr>
          <w:rFonts w:hint="eastAsia" w:ascii="仿宋_GB2312" w:eastAsia="仿宋_GB2312"/>
          <w:sz w:val="32"/>
        </w:rPr>
        <w:t>农技推广体</w:t>
      </w:r>
      <w:r>
        <w:rPr>
          <w:rFonts w:ascii="Times New Roman" w:hAnsi="Times New Roman" w:eastAsia="仿宋_GB2312" w:cs="Times New Roman"/>
          <w:sz w:val="32"/>
        </w:rPr>
        <w:t>系要</w:t>
      </w:r>
      <w:r>
        <w:rPr>
          <w:rFonts w:hint="eastAsia" w:ascii="Times New Roman" w:hAnsi="Times New Roman" w:eastAsia="仿宋_GB2312" w:cs="Times New Roman"/>
          <w:sz w:val="32"/>
        </w:rPr>
        <w:t>“</w:t>
      </w:r>
      <w:r>
        <w:rPr>
          <w:rFonts w:ascii="Times New Roman" w:hAnsi="Times New Roman" w:eastAsia="仿宋_GB2312" w:cs="Times New Roman"/>
          <w:sz w:val="32"/>
        </w:rPr>
        <w:t>稳定队伍、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提升素质、</w:t>
      </w:r>
      <w:r>
        <w:rPr>
          <w:rFonts w:ascii="Times New Roman" w:hAnsi="Times New Roman" w:eastAsia="仿宋_GB2312" w:cs="Times New Roman"/>
          <w:sz w:val="32"/>
        </w:rPr>
        <w:t>回归主业，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强化</w:t>
      </w:r>
      <w:r>
        <w:rPr>
          <w:rFonts w:ascii="Times New Roman" w:hAnsi="Times New Roman" w:eastAsia="仿宋_GB2312" w:cs="Times New Roman"/>
          <w:sz w:val="32"/>
        </w:rPr>
        <w:t>公益性服务功能</w:t>
      </w:r>
      <w:r>
        <w:rPr>
          <w:rFonts w:hint="eastAsia" w:ascii="Times New Roman" w:hAnsi="Times New Roman" w:eastAsia="仿宋_GB2312" w:cs="Times New Roman"/>
          <w:sz w:val="32"/>
        </w:rPr>
        <w:t>”重要指示精神</w:t>
      </w:r>
      <w:r>
        <w:rPr>
          <w:rFonts w:ascii="Times New Roman" w:hAnsi="Times New Roman" w:eastAsia="仿宋_GB2312" w:cs="Times New Roman"/>
          <w:sz w:val="32"/>
        </w:rPr>
        <w:t>，</w:t>
      </w:r>
      <w:r>
        <w:rPr>
          <w:rFonts w:hint="eastAsia" w:ascii="仿宋_GB2312" w:eastAsia="仿宋_GB2312"/>
          <w:kern w:val="0"/>
          <w:sz w:val="32"/>
        </w:rPr>
        <w:t>总结交流种植业技术推广体系改革创新</w:t>
      </w:r>
      <w:r>
        <w:rPr>
          <w:rFonts w:hint="eastAsia" w:ascii="仿宋_GB2312" w:eastAsia="仿宋_GB2312"/>
          <w:kern w:val="0"/>
          <w:sz w:val="32"/>
          <w:lang w:eastAsia="zh-CN"/>
        </w:rPr>
        <w:t>、</w:t>
      </w:r>
      <w:r>
        <w:rPr>
          <w:rFonts w:hint="eastAsia" w:ascii="仿宋_GB2312" w:eastAsia="仿宋_GB2312"/>
          <w:kern w:val="0"/>
          <w:sz w:val="32"/>
        </w:rPr>
        <w:t>提升服务效能</w:t>
      </w:r>
      <w:r>
        <w:rPr>
          <w:rFonts w:hint="eastAsia" w:ascii="仿宋_GB2312" w:eastAsia="仿宋_GB2312"/>
          <w:kern w:val="0"/>
          <w:sz w:val="32"/>
          <w:lang w:eastAsia="zh-CN"/>
        </w:rPr>
        <w:t>、</w:t>
      </w:r>
      <w:r>
        <w:rPr>
          <w:rFonts w:hint="eastAsia" w:ascii="仿宋_GB2312" w:eastAsia="仿宋_GB2312"/>
          <w:kern w:val="0"/>
          <w:sz w:val="32"/>
        </w:rPr>
        <w:t>支撑稳粮保供和农业高质量发展的经验做法，充分</w:t>
      </w:r>
      <w:r>
        <w:rPr>
          <w:rFonts w:hint="eastAsia" w:ascii="仿宋_GB2312" w:eastAsia="仿宋_GB2312"/>
          <w:sz w:val="32"/>
        </w:rPr>
        <w:t>发挥典型引领带动作</w:t>
      </w:r>
      <w:r>
        <w:rPr>
          <w:rFonts w:ascii="Times New Roman" w:hAnsi="Times New Roman" w:eastAsia="仿宋_GB2312" w:cs="Times New Roman"/>
          <w:sz w:val="32"/>
        </w:rPr>
        <w:t>用</w:t>
      </w:r>
      <w:r>
        <w:rPr>
          <w:rFonts w:hint="eastAsia" w:ascii="Times New Roman" w:hAnsi="Times New Roman" w:eastAsia="仿宋_GB2312" w:cs="Times New Roman"/>
          <w:sz w:val="32"/>
        </w:rPr>
        <w:t>，我中心</w:t>
      </w:r>
      <w:r>
        <w:rPr>
          <w:rFonts w:ascii="Times New Roman" w:hAnsi="Times New Roman" w:eastAsia="仿宋_GB2312" w:cs="Times New Roman"/>
          <w:sz w:val="32"/>
        </w:rPr>
        <w:t>决定</w:t>
      </w:r>
      <w:r>
        <w:rPr>
          <w:rFonts w:hint="eastAsia" w:ascii="Times New Roman" w:hAnsi="Times New Roman" w:eastAsia="仿宋_GB2312" w:cs="Times New Roman"/>
          <w:sz w:val="32"/>
        </w:rPr>
        <w:t>组织</w:t>
      </w:r>
      <w:r>
        <w:rPr>
          <w:rFonts w:ascii="Times New Roman" w:hAnsi="Times New Roman" w:eastAsia="仿宋_GB2312" w:cs="Times New Roman"/>
          <w:sz w:val="32"/>
        </w:rPr>
        <w:t>征集一批</w:t>
      </w:r>
      <w:r>
        <w:rPr>
          <w:rFonts w:hint="eastAsia" w:ascii="Times New Roman" w:hAnsi="Times New Roman" w:eastAsia="仿宋_GB2312" w:cs="Times New Roman"/>
          <w:sz w:val="32"/>
        </w:rPr>
        <w:t>种植业技术推广典型案例。现将有关事项通知如下。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一、</w:t>
      </w:r>
      <w:r>
        <w:rPr>
          <w:rFonts w:ascii="黑体" w:hAnsi="黑体" w:eastAsia="黑体"/>
          <w:sz w:val="32"/>
        </w:rPr>
        <w:t>征集</w:t>
      </w:r>
      <w:r>
        <w:rPr>
          <w:rFonts w:hint="eastAsia" w:ascii="黑体" w:hAnsi="黑体" w:eastAsia="黑体"/>
          <w:sz w:val="32"/>
        </w:rPr>
        <w:t>对象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全国各省、市、县、乡四级种植业技术推广机构，包括农技推广区域站和综合性农业农村公共服务机构。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黑体" w:hAnsi="黑体" w:eastAsia="黑体"/>
          <w:sz w:val="32"/>
        </w:rPr>
        <w:sectPr>
          <w:pgSz w:w="11906" w:h="16838"/>
          <w:pgMar w:top="1440" w:right="1474" w:bottom="1440" w:left="1588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楷体_GB2312" w:eastAsia="楷体_GB2312"/>
          <w:b/>
          <w:sz w:val="32"/>
        </w:rPr>
      </w:pPr>
      <w:r>
        <w:rPr>
          <w:rFonts w:hint="eastAsia" w:ascii="黑体" w:hAnsi="黑体" w:eastAsia="黑体"/>
          <w:sz w:val="32"/>
        </w:rPr>
        <w:t>二、案例类型</w:t>
      </w:r>
    </w:p>
    <w:p>
      <w:pPr>
        <w:adjustRightInd w:val="0"/>
        <w:snapToGrid w:val="0"/>
        <w:spacing w:line="600" w:lineRule="exact"/>
        <w:ind w:firstLine="642" w:firstLineChars="200"/>
        <w:rPr>
          <w:rFonts w:ascii="仿宋_GB2312" w:eastAsia="仿宋_GB2312"/>
          <w:sz w:val="32"/>
        </w:rPr>
      </w:pPr>
      <w:r>
        <w:rPr>
          <w:rFonts w:hint="eastAsia" w:ascii="楷体_GB2312" w:eastAsia="楷体_GB2312"/>
          <w:b/>
          <w:sz w:val="32"/>
        </w:rPr>
        <w:t>（一）体系队伍建设</w:t>
      </w:r>
      <w:r>
        <w:rPr>
          <w:rFonts w:hint="eastAsia" w:ascii="楷体_GB2312" w:eastAsia="楷体_GB2312"/>
          <w:b/>
          <w:sz w:val="32"/>
          <w:lang w:eastAsia="zh-CN"/>
        </w:rPr>
        <w:t>。</w:t>
      </w:r>
      <w:r>
        <w:rPr>
          <w:rFonts w:hint="eastAsia" w:ascii="仿宋_GB2312" w:eastAsia="仿宋_GB2312"/>
          <w:sz w:val="32"/>
        </w:rPr>
        <w:t>在职责履行、条件建设、人才培养等方面的创新做法，以及在农技推广制度建设、农技人员考核激励等方面的经验成效。</w:t>
      </w:r>
    </w:p>
    <w:p>
      <w:pPr>
        <w:adjustRightInd w:val="0"/>
        <w:snapToGrid w:val="0"/>
        <w:spacing w:line="600" w:lineRule="exact"/>
        <w:ind w:firstLine="642" w:firstLineChars="200"/>
        <w:rPr>
          <w:rFonts w:ascii="仿宋_GB2312" w:eastAsia="仿宋_GB2312"/>
          <w:sz w:val="32"/>
        </w:rPr>
      </w:pPr>
      <w:r>
        <w:rPr>
          <w:rFonts w:hint="eastAsia" w:ascii="楷体_GB2312" w:eastAsia="楷体_GB2312"/>
          <w:b/>
          <w:sz w:val="32"/>
        </w:rPr>
        <w:t>（二）机制方法创新</w:t>
      </w:r>
      <w:r>
        <w:rPr>
          <w:rFonts w:hint="eastAsia" w:ascii="楷体_GB2312" w:eastAsia="楷体_GB2312"/>
          <w:b/>
          <w:sz w:val="32"/>
          <w:lang w:eastAsia="zh-CN"/>
        </w:rPr>
        <w:t>。</w:t>
      </w:r>
      <w:r>
        <w:rPr>
          <w:rFonts w:hint="eastAsia" w:ascii="仿宋_GB2312" w:eastAsia="仿宋_GB2312"/>
          <w:sz w:val="32"/>
        </w:rPr>
        <w:t>在多元推广主体协同推广、试验示范基地建设、农技推广信息化建设、农民培训方式创新</w:t>
      </w:r>
      <w:r>
        <w:rPr>
          <w:rFonts w:hint="eastAsia" w:ascii="仿宋_GB2312" w:eastAsia="仿宋_GB2312"/>
          <w:sz w:val="32"/>
          <w:lang w:eastAsia="zh-CN"/>
        </w:rPr>
        <w:t>、社会化服务引导</w:t>
      </w:r>
      <w:r>
        <w:rPr>
          <w:rFonts w:hint="eastAsia" w:ascii="仿宋_GB2312" w:eastAsia="仿宋_GB2312"/>
          <w:sz w:val="32"/>
        </w:rPr>
        <w:t>等方面的经验成效。</w:t>
      </w:r>
    </w:p>
    <w:p>
      <w:pPr>
        <w:adjustRightInd w:val="0"/>
        <w:snapToGrid w:val="0"/>
        <w:spacing w:line="600" w:lineRule="exact"/>
        <w:ind w:firstLine="642" w:firstLineChars="200"/>
        <w:rPr>
          <w:rFonts w:ascii="仿宋_GB2312" w:eastAsia="仿宋_GB2312"/>
          <w:sz w:val="32"/>
        </w:rPr>
      </w:pPr>
      <w:r>
        <w:rPr>
          <w:rFonts w:hint="eastAsia" w:ascii="楷体_GB2312" w:eastAsia="楷体_GB2312"/>
          <w:b/>
          <w:sz w:val="32"/>
        </w:rPr>
        <w:t>（二）技术集成创新</w:t>
      </w:r>
      <w:r>
        <w:rPr>
          <w:rFonts w:hint="eastAsia" w:ascii="楷体_GB2312" w:eastAsia="楷体_GB2312"/>
          <w:b/>
          <w:sz w:val="32"/>
          <w:lang w:eastAsia="zh-CN"/>
        </w:rPr>
        <w:t>。</w:t>
      </w:r>
      <w:r>
        <w:rPr>
          <w:rFonts w:hint="eastAsia" w:ascii="仿宋_GB2312" w:eastAsia="仿宋_GB2312"/>
          <w:sz w:val="32"/>
        </w:rPr>
        <w:t>围绕粮油作物单产提升和园艺作物提质增效，在重大技术集成推广项目创设与实施、区域主导产业技术模式集成</w:t>
      </w:r>
      <w:r>
        <w:rPr>
          <w:rFonts w:hint="eastAsia" w:ascii="仿宋_GB2312" w:eastAsia="仿宋_GB2312"/>
          <w:sz w:val="32"/>
          <w:lang w:eastAsia="zh-CN"/>
        </w:rPr>
        <w:t>示范</w:t>
      </w:r>
      <w:r>
        <w:rPr>
          <w:rFonts w:hint="eastAsia" w:ascii="仿宋_GB2312" w:eastAsia="仿宋_GB2312"/>
          <w:sz w:val="32"/>
        </w:rPr>
        <w:t>等方面的经验和成效。</w:t>
      </w:r>
    </w:p>
    <w:p>
      <w:pPr>
        <w:adjustRightInd w:val="0"/>
        <w:snapToGrid w:val="0"/>
        <w:spacing w:line="600" w:lineRule="exact"/>
        <w:ind w:firstLine="642" w:firstLineChars="200"/>
        <w:rPr>
          <w:rFonts w:ascii="仿宋_GB2312" w:eastAsia="仿宋_GB2312"/>
          <w:sz w:val="32"/>
        </w:rPr>
      </w:pPr>
      <w:r>
        <w:rPr>
          <w:rFonts w:hint="eastAsia" w:ascii="楷体_GB2312" w:eastAsia="楷体_GB2312"/>
          <w:b/>
          <w:sz w:val="32"/>
        </w:rPr>
        <w:t>（四）农业防灾减灾</w:t>
      </w:r>
      <w:r>
        <w:rPr>
          <w:rFonts w:hint="eastAsia" w:ascii="楷体_GB2312" w:eastAsia="楷体_GB2312"/>
          <w:b/>
          <w:sz w:val="32"/>
          <w:lang w:eastAsia="zh-CN"/>
        </w:rPr>
        <w:t>。</w:t>
      </w:r>
      <w:r>
        <w:rPr>
          <w:rFonts w:hint="eastAsia" w:ascii="仿宋_GB2312" w:eastAsia="仿宋_GB2312"/>
          <w:sz w:val="32"/>
        </w:rPr>
        <w:t>本年度在应对自然灾害，加强监测预警、组织防灾减灾</w:t>
      </w:r>
      <w:r>
        <w:rPr>
          <w:rFonts w:hint="eastAsia" w:ascii="仿宋_GB2312" w:eastAsia="仿宋_GB2312"/>
          <w:sz w:val="32"/>
          <w:lang w:eastAsia="zh-CN"/>
        </w:rPr>
        <w:t>、</w:t>
      </w:r>
      <w:r>
        <w:rPr>
          <w:rFonts w:hint="eastAsia" w:ascii="仿宋_GB2312" w:eastAsia="仿宋_GB2312"/>
          <w:sz w:val="32"/>
        </w:rPr>
        <w:t>加快恢复农业生产等方面形成的制度机制、采取的技术措施以及取得的成效等。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三、</w:t>
      </w:r>
      <w:r>
        <w:rPr>
          <w:rFonts w:hint="eastAsia" w:ascii="黑体" w:hAnsi="黑体" w:eastAsia="黑体"/>
          <w:sz w:val="32"/>
          <w:lang w:eastAsia="zh-CN"/>
        </w:rPr>
        <w:t>有关</w:t>
      </w:r>
      <w:r>
        <w:rPr>
          <w:rFonts w:hint="eastAsia" w:ascii="黑体" w:hAnsi="黑体" w:eastAsia="黑体"/>
          <w:sz w:val="32"/>
        </w:rPr>
        <w:t>事项</w:t>
      </w:r>
    </w:p>
    <w:p>
      <w:pPr>
        <w:adjustRightInd w:val="0"/>
        <w:snapToGrid w:val="0"/>
        <w:spacing w:line="600" w:lineRule="exact"/>
        <w:ind w:firstLine="642" w:firstLineChars="200"/>
        <w:rPr>
          <w:rFonts w:ascii="仿宋_GB2312" w:eastAsia="仿宋_GB2312"/>
          <w:sz w:val="32"/>
        </w:rPr>
      </w:pPr>
      <w:r>
        <w:rPr>
          <w:rFonts w:hint="eastAsia" w:ascii="楷体_GB2312" w:eastAsia="楷体_GB2312"/>
          <w:b/>
          <w:sz w:val="32"/>
        </w:rPr>
        <w:t>（一）组织方式</w:t>
      </w:r>
      <w:r>
        <w:rPr>
          <w:rFonts w:hint="eastAsia" w:ascii="楷体_GB2312" w:eastAsia="楷体_GB2312"/>
          <w:b/>
          <w:sz w:val="32"/>
          <w:lang w:eastAsia="zh-CN"/>
        </w:rPr>
        <w:t>。</w:t>
      </w:r>
      <w:r>
        <w:rPr>
          <w:rFonts w:ascii="仿宋_GB2312" w:eastAsia="仿宋_GB2312"/>
          <w:sz w:val="32"/>
        </w:rPr>
        <w:t>各省级农技推广机构</w:t>
      </w:r>
      <w:r>
        <w:rPr>
          <w:rFonts w:hint="eastAsia" w:ascii="仿宋_GB2312" w:eastAsia="仿宋_GB2312"/>
          <w:sz w:val="32"/>
        </w:rPr>
        <w:t>组织征集本地区、</w:t>
      </w:r>
      <w:r>
        <w:rPr>
          <w:rFonts w:ascii="仿宋_GB2312" w:eastAsia="仿宋_GB2312"/>
          <w:sz w:val="32"/>
        </w:rPr>
        <w:t>本行业</w:t>
      </w:r>
      <w:r>
        <w:rPr>
          <w:rFonts w:hint="eastAsia" w:ascii="仿宋_GB2312" w:eastAsia="仿宋_GB2312"/>
          <w:sz w:val="32"/>
        </w:rPr>
        <w:t>各级推广机构的</w:t>
      </w:r>
      <w:r>
        <w:rPr>
          <w:rFonts w:ascii="仿宋_GB2312" w:eastAsia="仿宋_GB2312"/>
          <w:sz w:val="32"/>
        </w:rPr>
        <w:t>典型案例</w:t>
      </w:r>
      <w:r>
        <w:rPr>
          <w:rFonts w:hint="eastAsia" w:ascii="仿宋_GB2312" w:eastAsia="仿宋_GB2312"/>
          <w:sz w:val="32"/>
        </w:rPr>
        <w:t>，择优推荐不超过</w:t>
      </w:r>
      <w:r>
        <w:rPr>
          <w:rFonts w:ascii="Times New Roman" w:hAnsi="Times New Roman" w:eastAsia="仿宋_GB2312" w:cs="Times New Roman"/>
          <w:sz w:val="32"/>
        </w:rPr>
        <w:t>10</w:t>
      </w:r>
      <w:r>
        <w:rPr>
          <w:rFonts w:hint="eastAsia" w:ascii="仿宋_GB2312" w:eastAsia="仿宋_GB2312"/>
          <w:sz w:val="32"/>
        </w:rPr>
        <w:t>篇，统筹兼顾省、市、县、乡</w:t>
      </w:r>
      <w:r>
        <w:rPr>
          <w:rFonts w:hint="eastAsia" w:ascii="仿宋_GB2312" w:eastAsia="仿宋_GB2312"/>
          <w:sz w:val="32"/>
          <w:lang w:eastAsia="zh-CN"/>
        </w:rPr>
        <w:t>各</w:t>
      </w:r>
      <w:r>
        <w:rPr>
          <w:rFonts w:hint="eastAsia" w:ascii="仿宋_GB2312" w:eastAsia="仿宋_GB2312"/>
          <w:sz w:val="32"/>
        </w:rPr>
        <w:t>级和案例类型。</w:t>
      </w:r>
    </w:p>
    <w:p>
      <w:pPr>
        <w:adjustRightInd w:val="0"/>
        <w:snapToGrid w:val="0"/>
        <w:spacing w:line="600" w:lineRule="exact"/>
        <w:ind w:firstLine="642" w:firstLineChars="200"/>
        <w:rPr>
          <w:rFonts w:hint="eastAsia" w:ascii="楷体_GB2312" w:eastAsia="楷体_GB2312"/>
          <w:b/>
          <w:sz w:val="32"/>
        </w:rPr>
      </w:pPr>
      <w:r>
        <w:rPr>
          <w:rFonts w:hint="eastAsia" w:ascii="楷体_GB2312" w:eastAsia="楷体_GB2312"/>
          <w:b/>
          <w:sz w:val="32"/>
        </w:rPr>
        <w:t>（二）材料要求</w:t>
      </w:r>
      <w:r>
        <w:rPr>
          <w:rFonts w:hint="eastAsia" w:ascii="楷体_GB2312" w:eastAsia="楷体_GB2312"/>
          <w:b/>
          <w:sz w:val="32"/>
          <w:lang w:eastAsia="zh-CN"/>
        </w:rPr>
        <w:t>。</w:t>
      </w:r>
      <w:r>
        <w:rPr>
          <w:rFonts w:hint="eastAsia" w:ascii="仿宋_GB2312" w:eastAsia="仿宋_GB2312"/>
          <w:sz w:val="32"/>
        </w:rPr>
        <w:t>典型案例应聚焦种植业技术推广主题，突出国家农技推广机构作用和贡献，按照模板（附件</w:t>
      </w:r>
      <w:r>
        <w:rPr>
          <w:rFonts w:hint="default" w:ascii="Times New Roman" w:hAnsi="Times New Roman" w:eastAsia="仿宋_GB2312" w:cs="Times New Roman"/>
          <w:sz w:val="32"/>
        </w:rPr>
        <w:t>1</w:t>
      </w:r>
      <w:r>
        <w:rPr>
          <w:rFonts w:hint="eastAsia" w:ascii="仿宋_GB2312" w:eastAsia="仿宋_GB2312"/>
          <w:sz w:val="32"/>
        </w:rPr>
        <w:t>）撰写，要求</w:t>
      </w:r>
      <w:r>
        <w:rPr>
          <w:rFonts w:ascii="仿宋_GB2312" w:eastAsia="仿宋_GB2312"/>
          <w:sz w:val="32"/>
        </w:rPr>
        <w:t>结构完整、</w:t>
      </w:r>
      <w:r>
        <w:rPr>
          <w:rFonts w:hint="eastAsia" w:ascii="仿宋_GB2312" w:eastAsia="仿宋_GB2312"/>
          <w:sz w:val="32"/>
        </w:rPr>
        <w:t>重点突出、语言平实、信息准确，</w:t>
      </w:r>
      <w:r>
        <w:rPr>
          <w:rFonts w:ascii="Times New Roman" w:hAnsi="Times New Roman" w:eastAsia="仿宋_GB2312" w:cs="Times New Roman"/>
          <w:sz w:val="32"/>
        </w:rPr>
        <w:t>3000</w:t>
      </w:r>
      <w:r>
        <w:rPr>
          <w:rFonts w:hint="eastAsia" w:ascii="Times New Roman" w:hAnsi="Times New Roman" w:eastAsia="仿宋_GB2312" w:cs="Times New Roman"/>
          <w:sz w:val="32"/>
        </w:rPr>
        <w:t>字左右。</w:t>
      </w:r>
    </w:p>
    <w:p>
      <w:pPr>
        <w:adjustRightInd w:val="0"/>
        <w:snapToGrid w:val="0"/>
        <w:spacing w:line="600" w:lineRule="exact"/>
        <w:ind w:firstLine="642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楷体_GB2312" w:eastAsia="楷体_GB2312"/>
          <w:b/>
          <w:sz w:val="32"/>
        </w:rPr>
        <w:t>（三）报送时间</w:t>
      </w:r>
      <w:r>
        <w:rPr>
          <w:rFonts w:hint="eastAsia" w:ascii="楷体_GB2312" w:eastAsia="楷体_GB2312"/>
          <w:b/>
          <w:sz w:val="32"/>
          <w:lang w:eastAsia="zh-CN"/>
        </w:rPr>
        <w:t>。</w:t>
      </w:r>
      <w:r>
        <w:rPr>
          <w:rFonts w:hint="eastAsia" w:ascii="仿宋_GB2312" w:eastAsia="仿宋_GB2312"/>
          <w:sz w:val="32"/>
        </w:rPr>
        <w:t>请于</w:t>
      </w:r>
      <w:r>
        <w:rPr>
          <w:rFonts w:ascii="Times New Roman" w:hAnsi="Times New Roman" w:eastAsia="仿宋_GB2312" w:cs="Times New Roman"/>
          <w:sz w:val="32"/>
        </w:rPr>
        <w:t>10</w:t>
      </w:r>
      <w:r>
        <w:rPr>
          <w:rFonts w:hint="eastAsia" w:ascii="Times New Roman" w:hAnsi="Times New Roman" w:eastAsia="仿宋_GB2312" w:cs="Times New Roman"/>
          <w:sz w:val="32"/>
        </w:rPr>
        <w:t>月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23</w:t>
      </w:r>
      <w:r>
        <w:rPr>
          <w:rFonts w:hint="eastAsia" w:ascii="Times New Roman" w:hAnsi="Times New Roman" w:eastAsia="仿宋_GB2312" w:cs="Times New Roman"/>
          <w:sz w:val="32"/>
        </w:rPr>
        <w:t>日前，将典型案例推荐汇总表（附件2），连同推荐的典型案例材料电子版发送至指定邮箱。</w:t>
      </w:r>
    </w:p>
    <w:p>
      <w:pPr>
        <w:adjustRightInd w:val="0"/>
        <w:snapToGrid w:val="0"/>
        <w:spacing w:line="600" w:lineRule="exact"/>
        <w:ind w:firstLine="642" w:firstLineChars="200"/>
        <w:rPr>
          <w:rFonts w:hint="eastAsia" w:ascii="仿宋_GB2312" w:eastAsia="仿宋_GB2312"/>
          <w:sz w:val="32"/>
        </w:rPr>
      </w:pPr>
      <w:r>
        <w:rPr>
          <w:rFonts w:hint="eastAsia" w:ascii="楷体_GB2312" w:eastAsia="楷体_GB2312"/>
          <w:b/>
          <w:sz w:val="32"/>
        </w:rPr>
        <w:t>（四）成果运用</w:t>
      </w:r>
      <w:r>
        <w:rPr>
          <w:rFonts w:hint="eastAsia" w:ascii="楷体_GB2312" w:eastAsia="楷体_GB2312"/>
          <w:b/>
          <w:sz w:val="32"/>
          <w:lang w:eastAsia="zh-CN"/>
        </w:rPr>
        <w:t>。</w:t>
      </w:r>
      <w:r>
        <w:rPr>
          <w:rFonts w:hint="eastAsia" w:ascii="仿宋_GB2312" w:eastAsia="仿宋_GB2312"/>
          <w:sz w:val="32"/>
        </w:rPr>
        <w:t>全国农技中心</w:t>
      </w:r>
      <w:r>
        <w:rPr>
          <w:rFonts w:hint="eastAsia" w:ascii="仿宋_GB2312" w:eastAsia="仿宋_GB2312"/>
          <w:sz w:val="32"/>
          <w:lang w:eastAsia="zh-CN"/>
        </w:rPr>
        <w:t>将根</w:t>
      </w:r>
      <w:r>
        <w:rPr>
          <w:rFonts w:hint="eastAsia" w:ascii="仿宋_GB2312" w:eastAsia="仿宋_GB2312"/>
          <w:sz w:val="32"/>
        </w:rPr>
        <w:t>据报送情况择优形成种植业技术推广典型案例，汇编印发全体系交流推广，</w:t>
      </w:r>
      <w:r>
        <w:rPr>
          <w:rFonts w:hint="eastAsia" w:ascii="仿宋_GB2312" w:eastAsia="仿宋_GB2312"/>
          <w:sz w:val="32"/>
          <w:lang w:eastAsia="zh-CN"/>
        </w:rPr>
        <w:t>并依托</w:t>
      </w:r>
      <w:r>
        <w:rPr>
          <w:rFonts w:hint="eastAsia" w:ascii="仿宋_GB2312" w:eastAsia="仿宋_GB2312"/>
          <w:sz w:val="32"/>
        </w:rPr>
        <w:t>《中国农技推广》</w:t>
      </w:r>
      <w:r>
        <w:rPr>
          <w:rFonts w:hint="eastAsia" w:ascii="仿宋_GB2312" w:eastAsia="仿宋_GB2312"/>
          <w:sz w:val="32"/>
          <w:lang w:eastAsia="zh-CN"/>
        </w:rPr>
        <w:t>期刊、全国农技推广网等平台</w:t>
      </w:r>
      <w:r>
        <w:rPr>
          <w:rFonts w:hint="eastAsia" w:ascii="仿宋_GB2312" w:eastAsia="仿宋_GB2312"/>
          <w:sz w:val="32"/>
        </w:rPr>
        <w:t>宣传报道。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b w:val="0"/>
          <w:sz w:val="32"/>
          <w:lang w:eastAsia="zh-CN"/>
        </w:rPr>
        <w:t>联</w:t>
      </w:r>
      <w:r>
        <w:rPr>
          <w:rFonts w:hint="eastAsia" w:ascii="Times New Roman" w:hAnsi="Times New Roman" w:eastAsia="仿宋_GB2312" w:cs="Times New Roman"/>
          <w:b w:val="0"/>
          <w:sz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b w:val="0"/>
          <w:sz w:val="32"/>
          <w:lang w:eastAsia="zh-CN"/>
        </w:rPr>
        <w:t>系</w:t>
      </w:r>
      <w:r>
        <w:rPr>
          <w:rFonts w:hint="eastAsia" w:ascii="Times New Roman" w:hAnsi="Times New Roman" w:eastAsia="仿宋_GB2312" w:cs="Times New Roman"/>
          <w:b w:val="0"/>
          <w:sz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b w:val="0"/>
          <w:sz w:val="32"/>
          <w:lang w:eastAsia="zh-CN"/>
        </w:rPr>
        <w:t>人：</w:t>
      </w:r>
      <w:r>
        <w:rPr>
          <w:rFonts w:hint="eastAsia" w:ascii="Times New Roman" w:hAnsi="Times New Roman" w:eastAsia="仿宋_GB2312" w:cs="Times New Roman"/>
          <w:sz w:val="32"/>
        </w:rPr>
        <w:t>全国农技中心科技标准体系处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</w:rPr>
        <w:t>刘哲、刘霞婷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  <w:lang w:eastAsia="zh-CN"/>
        </w:rPr>
        <w:t>联系</w:t>
      </w:r>
      <w:r>
        <w:rPr>
          <w:rFonts w:hint="eastAsia" w:ascii="Times New Roman" w:hAnsi="Times New Roman" w:eastAsia="仿宋_GB2312" w:cs="Times New Roman"/>
          <w:sz w:val="32"/>
        </w:rPr>
        <w:t>电话：010－59194545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  <w:lang w:eastAsia="zh-CN"/>
        </w:rPr>
        <w:t>电子</w:t>
      </w:r>
      <w:r>
        <w:rPr>
          <w:rFonts w:hint="eastAsia" w:ascii="Times New Roman" w:hAnsi="Times New Roman" w:eastAsia="仿宋_GB2312" w:cs="Times New Roman"/>
          <w:sz w:val="32"/>
        </w:rPr>
        <w:t>邮箱：tixi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710</w:t>
      </w:r>
      <w:r>
        <w:rPr>
          <w:rFonts w:hint="eastAsia" w:ascii="Times New Roman" w:hAnsi="Times New Roman" w:eastAsia="仿宋_GB2312" w:cs="Times New Roman"/>
          <w:sz w:val="32"/>
        </w:rPr>
        <w:t>@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163.com</w:t>
      </w:r>
      <w:r>
        <w:rPr>
          <w:rFonts w:hint="eastAsia" w:ascii="Times New Roman" w:hAnsi="Times New Roman" w:eastAsia="仿宋_GB2312" w:cs="Times New Roman"/>
          <w:sz w:val="32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附件</w:t>
      </w:r>
      <w:r>
        <w:rPr>
          <w:rFonts w:hint="eastAsia" w:ascii="Times New Roman" w:hAnsi="Times New Roman" w:eastAsia="仿宋_GB2312" w:cs="Times New Roman"/>
          <w:sz w:val="32"/>
        </w:rPr>
        <w:t>：1</w:t>
      </w:r>
      <w:r>
        <w:rPr>
          <w:rFonts w:hint="eastAsia" w:ascii="仿宋_GB2312" w:hAnsi="仿宋_GB2312" w:eastAsia="仿宋_GB2312" w:cs="仿宋_GB2312"/>
          <w:sz w:val="32"/>
        </w:rPr>
        <w:t>.</w:t>
      </w:r>
      <w:r>
        <w:rPr>
          <w:rFonts w:hint="eastAsia" w:ascii="Times New Roman" w:hAnsi="Times New Roman" w:eastAsia="仿宋_GB2312" w:cs="Times New Roman"/>
          <w:sz w:val="32"/>
        </w:rPr>
        <w:t>种植业技术推广典型案例模板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 xml:space="preserve">      2</w:t>
      </w:r>
      <w:r>
        <w:rPr>
          <w:rFonts w:hint="eastAsia" w:ascii="仿宋_GB2312" w:hAnsi="仿宋_GB2312" w:eastAsia="仿宋_GB2312" w:cs="仿宋_GB2312"/>
          <w:sz w:val="32"/>
        </w:rPr>
        <w:t>.</w:t>
      </w:r>
      <w:r>
        <w:rPr>
          <w:rFonts w:hint="eastAsia" w:ascii="Times New Roman" w:hAnsi="Times New Roman" w:eastAsia="仿宋_GB2312" w:cs="Times New Roman"/>
          <w:sz w:val="32"/>
        </w:rPr>
        <w:t>典型案例</w:t>
      </w:r>
      <w:r>
        <w:rPr>
          <w:rFonts w:ascii="Times New Roman" w:hAnsi="Times New Roman" w:eastAsia="仿宋_GB2312" w:cs="Times New Roman"/>
          <w:sz w:val="32"/>
        </w:rPr>
        <w:t>推荐</w:t>
      </w:r>
      <w:r>
        <w:rPr>
          <w:rFonts w:hint="eastAsia" w:ascii="Times New Roman" w:hAnsi="Times New Roman" w:eastAsia="仿宋_GB2312" w:cs="Times New Roman"/>
          <w:sz w:val="32"/>
        </w:rPr>
        <w:t>汇总表</w:t>
      </w: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32"/>
        </w:rPr>
      </w:pPr>
    </w:p>
    <w:p>
      <w:pPr>
        <w:adjustRightInd w:val="0"/>
        <w:snapToGrid w:val="0"/>
        <w:spacing w:line="600" w:lineRule="exact"/>
        <w:ind w:firstLine="4160" w:firstLineChars="1300"/>
        <w:rPr>
          <w:rFonts w:ascii="Times New Roman" w:hAnsi="Times New Roman" w:eastAsia="仿宋_GB2312" w:cs="Times New Roman"/>
          <w:sz w:val="32"/>
        </w:rPr>
      </w:pPr>
    </w:p>
    <w:p>
      <w:pPr>
        <w:wordWrap w:val="0"/>
        <w:adjustRightInd w:val="0"/>
        <w:snapToGrid w:val="0"/>
        <w:spacing w:line="600" w:lineRule="exact"/>
        <w:ind w:right="840" w:rightChars="400" w:firstLine="0" w:firstLineChars="0"/>
        <w:jc w:val="right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</w:rPr>
        <w:t>全国农技中心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 </w:t>
      </w:r>
    </w:p>
    <w:p>
      <w:pPr>
        <w:adjustRightInd w:val="0"/>
        <w:snapToGrid w:val="0"/>
        <w:spacing w:line="600" w:lineRule="exact"/>
        <w:ind w:right="840" w:rightChars="400" w:firstLine="0" w:firstLineChars="0"/>
        <w:jc w:val="right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202</w:t>
      </w:r>
      <w:r>
        <w:rPr>
          <w:rFonts w:ascii="Times New Roman" w:hAnsi="Times New Roman" w:eastAsia="仿宋_GB2312" w:cs="Times New Roman"/>
          <w:sz w:val="32"/>
        </w:rPr>
        <w:t>4</w:t>
      </w:r>
      <w:r>
        <w:rPr>
          <w:rFonts w:hint="eastAsia" w:ascii="Times New Roman" w:hAnsi="Times New Roman" w:eastAsia="仿宋_GB2312" w:cs="Times New Roman"/>
          <w:sz w:val="32"/>
        </w:rPr>
        <w:t>年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10</w:t>
      </w:r>
      <w:r>
        <w:rPr>
          <w:rFonts w:hint="eastAsia" w:ascii="Times New Roman" w:hAnsi="Times New Roman" w:eastAsia="仿宋_GB2312" w:cs="Times New Roman"/>
          <w:sz w:val="32"/>
        </w:rPr>
        <w:t>月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sz w:val="32"/>
        </w:rPr>
        <w:t>日</w:t>
      </w:r>
      <w:r>
        <w:rPr>
          <w:rFonts w:ascii="Times New Roman" w:hAnsi="Times New Roman" w:eastAsia="仿宋_GB2312" w:cs="Times New Roman"/>
          <w:sz w:val="32"/>
        </w:rPr>
        <w:br w:type="page"/>
      </w:r>
    </w:p>
    <w:p>
      <w:pPr>
        <w:adjustRightInd w:val="0"/>
        <w:snapToGri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1</w:t>
      </w:r>
    </w:p>
    <w:p>
      <w:pPr>
        <w:adjustRightInd w:val="0"/>
        <w:snapToGrid w:val="0"/>
        <w:spacing w:line="600" w:lineRule="exact"/>
        <w:rPr>
          <w:rFonts w:ascii="方正小标宋简体" w:hAnsi="Times New Roman" w:eastAsia="方正小标宋简体" w:cs="Times New Roman"/>
          <w:sz w:val="80"/>
          <w:szCs w:val="80"/>
        </w:rPr>
      </w:pPr>
    </w:p>
    <w:p>
      <w:pPr>
        <w:widowControl/>
        <w:adjustRightInd w:val="0"/>
        <w:snapToGrid w:val="0"/>
        <w:spacing w:line="600" w:lineRule="exact"/>
        <w:jc w:val="center"/>
        <w:rPr>
          <w:rFonts w:ascii="小标宋" w:hAnsi="Times New Roman" w:eastAsia="小标宋" w:cs="Times New Roman"/>
          <w:sz w:val="40"/>
          <w:szCs w:val="21"/>
        </w:rPr>
      </w:pPr>
      <w:r>
        <w:rPr>
          <w:rFonts w:hint="eastAsia" w:ascii="小标宋" w:hAnsi="Times New Roman" w:eastAsia="小标宋" w:cs="Times New Roman"/>
          <w:sz w:val="40"/>
          <w:szCs w:val="21"/>
        </w:rPr>
        <w:t>种植业技术推广典型案例模板</w:t>
      </w:r>
    </w:p>
    <w:p>
      <w:pPr>
        <w:widowControl/>
        <w:adjustRightInd w:val="0"/>
        <w:snapToGrid w:val="0"/>
        <w:spacing w:line="600" w:lineRule="exact"/>
        <w:jc w:val="center"/>
        <w:rPr>
          <w:rFonts w:ascii="小标宋" w:hAnsi="Times New Roman" w:eastAsia="小标宋" w:cs="Times New Roman"/>
          <w:sz w:val="40"/>
          <w:szCs w:val="21"/>
        </w:rPr>
      </w:pPr>
      <w:r>
        <w:rPr>
          <w:rFonts w:hint="eastAsia" w:ascii="小标宋" w:hAnsi="Times New Roman" w:eastAsia="小标宋" w:cs="Times New Roman"/>
          <w:sz w:val="40"/>
          <w:szCs w:val="21"/>
        </w:rPr>
        <w:t>（题目自拟）</w:t>
      </w:r>
    </w:p>
    <w:p>
      <w:pPr>
        <w:widowControl/>
        <w:adjustRightInd w:val="0"/>
        <w:snapToGrid w:val="0"/>
        <w:spacing w:line="600" w:lineRule="exact"/>
        <w:jc w:val="center"/>
        <w:rPr>
          <w:rFonts w:ascii="小标宋" w:hAnsi="Times New Roman" w:eastAsia="小标宋" w:cs="Times New Roman"/>
          <w:sz w:val="44"/>
        </w:rPr>
      </w:pPr>
    </w:p>
    <w:p>
      <w:pPr>
        <w:widowControl/>
        <w:adjustRightInd w:val="0"/>
        <w:snapToGrid w:val="0"/>
        <w:spacing w:line="60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sz w:val="32"/>
        </w:rPr>
      </w:pPr>
      <w:r>
        <w:rPr>
          <w:rFonts w:hint="eastAsia" w:ascii="黑体" w:hAnsi="黑体" w:eastAsia="黑体" w:cs="Times New Roman"/>
          <w:sz w:val="32"/>
        </w:rPr>
        <w:t>摘要</w:t>
      </w:r>
      <w:r>
        <w:rPr>
          <w:rFonts w:hint="eastAsia" w:ascii="黑体" w:hAnsi="黑体" w:eastAsia="黑体" w:cs="Times New Roman"/>
          <w:sz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提炼</w:t>
      </w:r>
      <w:r>
        <w:rPr>
          <w:rFonts w:hint="eastAsia" w:ascii="Times New Roman" w:hAnsi="Times New Roman" w:eastAsia="仿宋_GB2312" w:cs="Times New Roman"/>
          <w:sz w:val="32"/>
        </w:rPr>
        <w:t>材料核心内容，突出做法成效，不超过200字。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黑体" w:hAnsi="黑体" w:eastAsia="黑体" w:cs="Times New Roman"/>
          <w:sz w:val="32"/>
        </w:rPr>
        <w:t>关键词：</w:t>
      </w:r>
      <w:r>
        <w:rPr>
          <w:rFonts w:hint="eastAsia" w:ascii="Times New Roman" w:hAnsi="Times New Roman" w:eastAsia="仿宋_GB2312" w:cs="Times New Roman"/>
          <w:sz w:val="32"/>
        </w:rPr>
        <w:t>（不超过5个）</w:t>
      </w:r>
    </w:p>
    <w:p>
      <w:pPr>
        <w:widowControl/>
        <w:adjustRightInd w:val="0"/>
        <w:snapToGrid w:val="0"/>
        <w:spacing w:line="600" w:lineRule="exact"/>
        <w:jc w:val="center"/>
        <w:rPr>
          <w:rFonts w:ascii="小标宋" w:hAnsi="Times New Roman" w:eastAsia="小标宋" w:cs="Times New Roman"/>
          <w:sz w:val="44"/>
        </w:rPr>
      </w:pP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ascii="黑体" w:hAnsi="黑体" w:eastAsia="黑体" w:cs="Times New Roman"/>
          <w:sz w:val="32"/>
        </w:rPr>
      </w:pPr>
      <w:r>
        <w:rPr>
          <w:rFonts w:hint="eastAsia" w:ascii="黑体" w:hAnsi="黑体" w:eastAsia="黑体" w:cs="Times New Roman"/>
          <w:sz w:val="32"/>
        </w:rPr>
        <w:t>一、背景情况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阐述工作开展的背景原因、总体思路和技术路径等。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ascii="黑体" w:hAnsi="黑体" w:eastAsia="黑体" w:cs="Times New Roman"/>
          <w:sz w:val="32"/>
        </w:rPr>
      </w:pPr>
      <w:r>
        <w:rPr>
          <w:rFonts w:hint="eastAsia" w:ascii="黑体" w:hAnsi="黑体" w:eastAsia="黑体" w:cs="Times New Roman"/>
          <w:sz w:val="32"/>
        </w:rPr>
        <w:t>二、主要做法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开展的主要工作内容及具体做法等，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写明</w:t>
      </w:r>
      <w:r>
        <w:rPr>
          <w:rFonts w:hint="eastAsia" w:ascii="Times New Roman" w:hAnsi="Times New Roman" w:eastAsia="仿宋_GB2312" w:cs="Times New Roman"/>
          <w:sz w:val="32"/>
        </w:rPr>
        <w:t>时间范围。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ascii="黑体" w:hAnsi="黑体" w:eastAsia="黑体" w:cs="Times New Roman"/>
          <w:sz w:val="32"/>
        </w:rPr>
      </w:pPr>
      <w:r>
        <w:rPr>
          <w:rFonts w:hint="eastAsia" w:ascii="黑体" w:hAnsi="黑体" w:eastAsia="黑体" w:cs="Times New Roman"/>
          <w:sz w:val="32"/>
        </w:rPr>
        <w:t>三、取得成效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通过开展工作取得的业绩成果和服务农业农村发展的成效，重点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阐述</w:t>
      </w:r>
      <w:r>
        <w:rPr>
          <w:rFonts w:hint="eastAsia" w:ascii="Times New Roman" w:hAnsi="Times New Roman" w:eastAsia="仿宋_GB2312" w:cs="Times New Roman"/>
          <w:sz w:val="32"/>
        </w:rPr>
        <w:t>国家农技推广机构在其中的作用和贡献。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ascii="黑体" w:hAnsi="黑体" w:eastAsia="黑体" w:cs="Times New Roman"/>
          <w:sz w:val="32"/>
        </w:rPr>
      </w:pPr>
      <w:r>
        <w:rPr>
          <w:rFonts w:hint="eastAsia" w:ascii="黑体" w:hAnsi="黑体" w:eastAsia="黑体" w:cs="Times New Roman"/>
          <w:sz w:val="32"/>
        </w:rPr>
        <w:t>四、创新经验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通过开展工作，形成哪些可供行业借鉴的制度、机制、模式、方法、经验等。</w:t>
      </w:r>
    </w:p>
    <w:p>
      <w:pPr>
        <w:widowControl/>
        <w:adjustRightInd w:val="0"/>
        <w:snapToGrid w:val="0"/>
        <w:spacing w:line="600" w:lineRule="exact"/>
        <w:jc w:val="left"/>
        <w:rPr>
          <w:rFonts w:ascii="Times New Roman" w:hAnsi="Times New Roman" w:eastAsia="仿宋_GB2312" w:cs="Times New Roman"/>
          <w:sz w:val="32"/>
        </w:rPr>
      </w:pPr>
    </w:p>
    <w:p>
      <w:pPr>
        <w:widowControl/>
        <w:adjustRightInd w:val="0"/>
        <w:snapToGrid w:val="0"/>
        <w:spacing w:line="600" w:lineRule="exact"/>
        <w:jc w:val="left"/>
        <w:rPr>
          <w:rFonts w:ascii="Times New Roman" w:hAnsi="黑体" w:eastAsia="黑体" w:cs="Times New Roman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40" w:right="1474" w:bottom="1440" w:left="158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widowControl/>
        <w:adjustRightInd w:val="0"/>
        <w:snapToGrid w:val="0"/>
        <w:spacing w:line="60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2</w:t>
      </w:r>
    </w:p>
    <w:p>
      <w:pPr>
        <w:adjustRightInd w:val="0"/>
        <w:snapToGrid w:val="0"/>
        <w:spacing w:before="312" w:beforeLines="100" w:after="312" w:afterLines="100" w:line="600" w:lineRule="exact"/>
        <w:jc w:val="center"/>
        <w:rPr>
          <w:rFonts w:ascii="小标宋" w:hAnsi="Times New Roman" w:eastAsia="小标宋" w:cs="Times New Roman"/>
          <w:sz w:val="40"/>
          <w:szCs w:val="24"/>
        </w:rPr>
      </w:pPr>
      <w:r>
        <w:rPr>
          <w:rFonts w:hint="eastAsia" w:ascii="小标宋" w:hAnsi="Times New Roman" w:eastAsia="小标宋" w:cs="Times New Roman"/>
          <w:sz w:val="40"/>
          <w:szCs w:val="24"/>
        </w:rPr>
        <w:t>典型案例推荐汇总表</w:t>
      </w:r>
    </w:p>
    <w:p>
      <w:pPr>
        <w:adjustRightInd w:val="0"/>
        <w:snapToGrid w:val="0"/>
        <w:spacing w:line="360" w:lineRule="auto"/>
        <w:rPr>
          <w:rFonts w:hint="eastAsia" w:cs="Times New Roman" w:asciiTheme="minorEastAsia" w:hAnsiTheme="minorEastAsia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推荐单位（盖章）：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联系人: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          电话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：</w:t>
      </w:r>
    </w:p>
    <w:tbl>
      <w:tblPr>
        <w:tblStyle w:val="6"/>
        <w:tblW w:w="514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2670"/>
        <w:gridCol w:w="2320"/>
        <w:gridCol w:w="2185"/>
        <w:gridCol w:w="1520"/>
        <w:gridCol w:w="1465"/>
        <w:gridCol w:w="1509"/>
        <w:gridCol w:w="1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13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b/>
                <w:sz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</w:rPr>
              <w:t>序号</w:t>
            </w: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b/>
                <w:sz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</w:rPr>
              <w:t>案例题目</w:t>
            </w:r>
          </w:p>
        </w:tc>
        <w:tc>
          <w:tcPr>
            <w:tcW w:w="795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b/>
                <w:sz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</w:rPr>
              <w:t>案例类型</w:t>
            </w:r>
          </w:p>
        </w:tc>
        <w:tc>
          <w:tcPr>
            <w:tcW w:w="749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b/>
                <w:sz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</w:rPr>
              <w:t>案例提供单位</w:t>
            </w:r>
          </w:p>
        </w:tc>
        <w:tc>
          <w:tcPr>
            <w:tcW w:w="521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b/>
                <w:sz w:val="24"/>
              </w:rPr>
            </w:pPr>
            <w:r>
              <w:rPr>
                <w:rFonts w:cs="Times New Roman" w:asciiTheme="minorEastAsia" w:hAnsiTheme="minorEastAsia"/>
                <w:b/>
                <w:sz w:val="24"/>
              </w:rPr>
              <w:t>所属省份</w:t>
            </w:r>
          </w:p>
        </w:tc>
        <w:tc>
          <w:tcPr>
            <w:tcW w:w="502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b/>
                <w:sz w:val="24"/>
              </w:rPr>
            </w:pPr>
            <w:r>
              <w:rPr>
                <w:rFonts w:cs="Times New Roman" w:asciiTheme="minorEastAsia" w:hAnsiTheme="minorEastAsia"/>
                <w:b/>
                <w:sz w:val="24"/>
              </w:rPr>
              <w:t>机构层级</w:t>
            </w:r>
          </w:p>
        </w:tc>
        <w:tc>
          <w:tcPr>
            <w:tcW w:w="517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b/>
                <w:sz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  <w:lang w:eastAsia="zh-CN"/>
              </w:rPr>
              <w:t>案例</w:t>
            </w:r>
            <w:r>
              <w:rPr>
                <w:rFonts w:cs="Times New Roman" w:asciiTheme="minorEastAsia" w:hAnsiTheme="minorEastAsia"/>
                <w:b/>
                <w:sz w:val="24"/>
              </w:rPr>
              <w:t>联系人</w:t>
            </w:r>
          </w:p>
        </w:tc>
        <w:tc>
          <w:tcPr>
            <w:tcW w:w="684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b/>
                <w:sz w:val="24"/>
              </w:rPr>
            </w:pPr>
            <w:r>
              <w:rPr>
                <w:rFonts w:cs="Times New Roman" w:asciiTheme="minorEastAsia" w:hAnsiTheme="minorEastAsia"/>
                <w:b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313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795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749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521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502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517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684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13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795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749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521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502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517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684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313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795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749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521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502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517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684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13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795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749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521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502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517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684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</w:tr>
    </w:tbl>
    <w:p>
      <w:pPr>
        <w:adjustRightInd w:val="0"/>
        <w:snapToGrid w:val="0"/>
        <w:spacing w:line="600" w:lineRule="exact"/>
        <w:rPr>
          <w:rFonts w:hint="eastAsia" w:ascii="Times New Roman" w:hAnsi="Times New Roman" w:eastAsia="仿宋_GB2312" w:cs="Times New Roman"/>
          <w:sz w:val="24"/>
          <w:lang w:eastAsia="zh-CN"/>
        </w:rPr>
      </w:pPr>
      <w:r>
        <w:rPr>
          <w:rFonts w:hint="eastAsia" w:ascii="Times New Roman" w:hAnsi="Times New Roman" w:eastAsia="仿宋_GB2312" w:cs="Times New Roman"/>
          <w:sz w:val="24"/>
          <w:lang w:eastAsia="zh-CN"/>
        </w:rPr>
        <w:t>注：案例类型为体系队伍建设、机制方法创新、技术集成创新、农业防灾减灾。</w:t>
      </w: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  <w:sectPr>
          <w:footerReference r:id="rId5" w:type="default"/>
          <w:footerReference r:id="rId6" w:type="even"/>
          <w:pgSz w:w="16838" w:h="11906" w:orient="landscape"/>
          <w:pgMar w:top="1588" w:right="1440" w:bottom="1474" w:left="144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spacing w:line="240" w:lineRule="auto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br w:type="page"/>
      </w: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  <w:sectPr>
          <w:pgSz w:w="11906" w:h="16838"/>
          <w:pgMar w:top="1440" w:right="1474" w:bottom="1440" w:left="158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24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p>
      <w:pPr>
        <w:spacing w:line="20" w:lineRule="exact"/>
        <w:rPr>
          <w:rFonts w:ascii="Times New Roman" w:hAnsi="Times New Roman"/>
        </w:rPr>
      </w:pPr>
    </w:p>
    <w:tbl>
      <w:tblPr>
        <w:tblStyle w:val="5"/>
        <w:tblW w:w="888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88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spacing w:line="600" w:lineRule="exact"/>
              <w:ind w:firstLine="280" w:firstLineChars="1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抄送：农业农村部科学技术司，种植业管理司，种业管理司。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882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</w:tcPr>
          <w:p>
            <w:pPr>
              <w:adjustRightInd w:val="0"/>
              <w:snapToGrid w:val="0"/>
              <w:spacing w:line="600" w:lineRule="exact"/>
              <w:ind w:firstLine="280" w:firstLineChars="1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全国农技中心办公室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2024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日印发</w:t>
            </w:r>
          </w:p>
        </w:tc>
      </w:tr>
    </w:tbl>
    <w:p>
      <w:pPr>
        <w:spacing w:line="20" w:lineRule="exact"/>
        <w:rPr>
          <w:rFonts w:ascii="Times New Roman" w:hAnsi="Times New Roman" w:eastAsiaTheme="minorEastAsia" w:cstheme="minorBidi"/>
          <w:sz w:val="21"/>
        </w:rPr>
      </w:pPr>
      <w:bookmarkStart w:id="0" w:name="_GoBack"/>
      <w:bookmarkEnd w:id="0"/>
    </w:p>
    <w:sectPr>
      <w:footerReference r:id="rId7" w:type="default"/>
      <w:footerReference r:id="rId8" w:type="even"/>
      <w:pgSz w:w="11906" w:h="16838"/>
      <w:pgMar w:top="1440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ongolian Baiti">
    <w:altName w:val="DejaVu Math TeX Gyre"/>
    <w:panose1 w:val="03000500000000000000"/>
    <w:charset w:val="00"/>
    <w:family w:val="script"/>
    <w:pitch w:val="default"/>
    <w:sig w:usb0="00000000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方正小标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Id+3GxwCAAAr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6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</w:pPr>
    <w:r>
      <w:rPr>
        <w:rFonts w:ascii="宋体" w:hAnsi="宋体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</w:rPr>
      <w:t>6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6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</w:pPr>
    <w:r>
      <w:rPr>
        <w:rFonts w:ascii="宋体" w:hAnsi="宋体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</w:rPr>
      <w:t>6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true"/>
  <w:bordersDoNotSurroundFooter w:val="true"/>
  <w:documentProtection w:enforcement="0"/>
  <w:defaultTabStop w:val="42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0MWVjZjFmMmQ0ZDM0ZDgwNDA4ZmE1MmI4MWQyN2EifQ=="/>
  </w:docVars>
  <w:rsids>
    <w:rsidRoot w:val="0021799C"/>
    <w:rsid w:val="000141AB"/>
    <w:rsid w:val="000301E0"/>
    <w:rsid w:val="00045130"/>
    <w:rsid w:val="00062C7A"/>
    <w:rsid w:val="00077F37"/>
    <w:rsid w:val="0008495C"/>
    <w:rsid w:val="000A7070"/>
    <w:rsid w:val="000B39FC"/>
    <w:rsid w:val="000D298D"/>
    <w:rsid w:val="00135AC3"/>
    <w:rsid w:val="00140D89"/>
    <w:rsid w:val="001602F2"/>
    <w:rsid w:val="00172439"/>
    <w:rsid w:val="00177A62"/>
    <w:rsid w:val="001920CD"/>
    <w:rsid w:val="002072FA"/>
    <w:rsid w:val="00212353"/>
    <w:rsid w:val="0021799C"/>
    <w:rsid w:val="0022409D"/>
    <w:rsid w:val="00243C0C"/>
    <w:rsid w:val="002473DA"/>
    <w:rsid w:val="00250CD8"/>
    <w:rsid w:val="00261553"/>
    <w:rsid w:val="00263598"/>
    <w:rsid w:val="00277171"/>
    <w:rsid w:val="002C3767"/>
    <w:rsid w:val="002D75BA"/>
    <w:rsid w:val="002E4664"/>
    <w:rsid w:val="002E68D3"/>
    <w:rsid w:val="003119CA"/>
    <w:rsid w:val="003178DE"/>
    <w:rsid w:val="00322742"/>
    <w:rsid w:val="00327419"/>
    <w:rsid w:val="00330F3B"/>
    <w:rsid w:val="00331DDE"/>
    <w:rsid w:val="003437D9"/>
    <w:rsid w:val="00344A2B"/>
    <w:rsid w:val="00353BBC"/>
    <w:rsid w:val="00376284"/>
    <w:rsid w:val="003854DC"/>
    <w:rsid w:val="00385FB8"/>
    <w:rsid w:val="003923A2"/>
    <w:rsid w:val="003A6C2E"/>
    <w:rsid w:val="003C27CC"/>
    <w:rsid w:val="003F208F"/>
    <w:rsid w:val="004070C8"/>
    <w:rsid w:val="00422F36"/>
    <w:rsid w:val="00425B7F"/>
    <w:rsid w:val="00432245"/>
    <w:rsid w:val="00460F4D"/>
    <w:rsid w:val="004654CD"/>
    <w:rsid w:val="00472B8D"/>
    <w:rsid w:val="004773B5"/>
    <w:rsid w:val="004926C5"/>
    <w:rsid w:val="00495904"/>
    <w:rsid w:val="004A165D"/>
    <w:rsid w:val="004B6E4E"/>
    <w:rsid w:val="004F3F5F"/>
    <w:rsid w:val="0050428D"/>
    <w:rsid w:val="00513010"/>
    <w:rsid w:val="00514B3E"/>
    <w:rsid w:val="00527A9F"/>
    <w:rsid w:val="00530A05"/>
    <w:rsid w:val="005416CD"/>
    <w:rsid w:val="00567687"/>
    <w:rsid w:val="00574171"/>
    <w:rsid w:val="005768E4"/>
    <w:rsid w:val="00584702"/>
    <w:rsid w:val="005B4B83"/>
    <w:rsid w:val="005C7B22"/>
    <w:rsid w:val="005F5730"/>
    <w:rsid w:val="005F7273"/>
    <w:rsid w:val="00620257"/>
    <w:rsid w:val="00630529"/>
    <w:rsid w:val="006425DF"/>
    <w:rsid w:val="00645970"/>
    <w:rsid w:val="00660438"/>
    <w:rsid w:val="00662165"/>
    <w:rsid w:val="00662943"/>
    <w:rsid w:val="00673B64"/>
    <w:rsid w:val="00682F47"/>
    <w:rsid w:val="006876E5"/>
    <w:rsid w:val="006B40FA"/>
    <w:rsid w:val="006D355C"/>
    <w:rsid w:val="006E2502"/>
    <w:rsid w:val="006E69A9"/>
    <w:rsid w:val="006F4C8D"/>
    <w:rsid w:val="00713DD0"/>
    <w:rsid w:val="007260BB"/>
    <w:rsid w:val="00727C8B"/>
    <w:rsid w:val="007303E9"/>
    <w:rsid w:val="00734FEF"/>
    <w:rsid w:val="00735E5C"/>
    <w:rsid w:val="00761096"/>
    <w:rsid w:val="00761692"/>
    <w:rsid w:val="007808C3"/>
    <w:rsid w:val="00782A9A"/>
    <w:rsid w:val="00793D62"/>
    <w:rsid w:val="007B2D29"/>
    <w:rsid w:val="007C0640"/>
    <w:rsid w:val="007E042C"/>
    <w:rsid w:val="007E6EC2"/>
    <w:rsid w:val="0081255D"/>
    <w:rsid w:val="00822791"/>
    <w:rsid w:val="0084223E"/>
    <w:rsid w:val="008516E2"/>
    <w:rsid w:val="008643F9"/>
    <w:rsid w:val="008743EF"/>
    <w:rsid w:val="008756D4"/>
    <w:rsid w:val="00894CF7"/>
    <w:rsid w:val="008A5654"/>
    <w:rsid w:val="008B60F5"/>
    <w:rsid w:val="008D2031"/>
    <w:rsid w:val="008D67C7"/>
    <w:rsid w:val="008F1B87"/>
    <w:rsid w:val="008F3BDB"/>
    <w:rsid w:val="009109C1"/>
    <w:rsid w:val="00912597"/>
    <w:rsid w:val="00920CB2"/>
    <w:rsid w:val="00927E3F"/>
    <w:rsid w:val="0094652D"/>
    <w:rsid w:val="00986BD4"/>
    <w:rsid w:val="009E16B6"/>
    <w:rsid w:val="009E54BD"/>
    <w:rsid w:val="009F655B"/>
    <w:rsid w:val="00A064AA"/>
    <w:rsid w:val="00A156AC"/>
    <w:rsid w:val="00A31016"/>
    <w:rsid w:val="00A474B2"/>
    <w:rsid w:val="00A66800"/>
    <w:rsid w:val="00A74D59"/>
    <w:rsid w:val="00A97215"/>
    <w:rsid w:val="00A9740A"/>
    <w:rsid w:val="00AC1065"/>
    <w:rsid w:val="00B3063B"/>
    <w:rsid w:val="00B436B5"/>
    <w:rsid w:val="00B54F43"/>
    <w:rsid w:val="00B565E8"/>
    <w:rsid w:val="00B667F9"/>
    <w:rsid w:val="00BB29D2"/>
    <w:rsid w:val="00BD33F9"/>
    <w:rsid w:val="00BE7AFF"/>
    <w:rsid w:val="00C12A75"/>
    <w:rsid w:val="00C13835"/>
    <w:rsid w:val="00C6553B"/>
    <w:rsid w:val="00C66E04"/>
    <w:rsid w:val="00C95662"/>
    <w:rsid w:val="00CF3CD2"/>
    <w:rsid w:val="00D05464"/>
    <w:rsid w:val="00D20B53"/>
    <w:rsid w:val="00D51569"/>
    <w:rsid w:val="00D53A5A"/>
    <w:rsid w:val="00D55CF7"/>
    <w:rsid w:val="00D63D98"/>
    <w:rsid w:val="00D70302"/>
    <w:rsid w:val="00D707D0"/>
    <w:rsid w:val="00D712F7"/>
    <w:rsid w:val="00DA20B1"/>
    <w:rsid w:val="00DB6F5B"/>
    <w:rsid w:val="00DE09F2"/>
    <w:rsid w:val="00DE0CBA"/>
    <w:rsid w:val="00DF1F62"/>
    <w:rsid w:val="00DF4B5A"/>
    <w:rsid w:val="00E02C20"/>
    <w:rsid w:val="00E065E6"/>
    <w:rsid w:val="00E17F49"/>
    <w:rsid w:val="00E24D3F"/>
    <w:rsid w:val="00E316D6"/>
    <w:rsid w:val="00E5365F"/>
    <w:rsid w:val="00E64974"/>
    <w:rsid w:val="00E9160E"/>
    <w:rsid w:val="00E970B7"/>
    <w:rsid w:val="00EA25BE"/>
    <w:rsid w:val="00EC2E92"/>
    <w:rsid w:val="00EC47CA"/>
    <w:rsid w:val="00ED2DC9"/>
    <w:rsid w:val="00EE5A07"/>
    <w:rsid w:val="00EF1D1B"/>
    <w:rsid w:val="00F15691"/>
    <w:rsid w:val="00F17DD1"/>
    <w:rsid w:val="00F400B4"/>
    <w:rsid w:val="00F45B4C"/>
    <w:rsid w:val="00F462AF"/>
    <w:rsid w:val="00F54630"/>
    <w:rsid w:val="00F7017D"/>
    <w:rsid w:val="00F76F3F"/>
    <w:rsid w:val="00F8785B"/>
    <w:rsid w:val="00FB06F9"/>
    <w:rsid w:val="00FB54E0"/>
    <w:rsid w:val="0A7FC911"/>
    <w:rsid w:val="17F6F461"/>
    <w:rsid w:val="181C294C"/>
    <w:rsid w:val="1A85757B"/>
    <w:rsid w:val="1ECFE2BE"/>
    <w:rsid w:val="1FEF23FE"/>
    <w:rsid w:val="2C27A907"/>
    <w:rsid w:val="3B3537F2"/>
    <w:rsid w:val="3B9619E9"/>
    <w:rsid w:val="3C4FBC2E"/>
    <w:rsid w:val="3DA99ADA"/>
    <w:rsid w:val="3EEF4DE1"/>
    <w:rsid w:val="453D0D5C"/>
    <w:rsid w:val="4B490FD8"/>
    <w:rsid w:val="4FFFA2A4"/>
    <w:rsid w:val="5571496C"/>
    <w:rsid w:val="563156F7"/>
    <w:rsid w:val="5E7E587B"/>
    <w:rsid w:val="5FFF54A0"/>
    <w:rsid w:val="62B80C5C"/>
    <w:rsid w:val="6320659D"/>
    <w:rsid w:val="65A07706"/>
    <w:rsid w:val="65BFED7E"/>
    <w:rsid w:val="677F6E27"/>
    <w:rsid w:val="73DA8C4A"/>
    <w:rsid w:val="76AB14CB"/>
    <w:rsid w:val="788DEA60"/>
    <w:rsid w:val="79B26F8A"/>
    <w:rsid w:val="7A6BA8ED"/>
    <w:rsid w:val="7BFB94DB"/>
    <w:rsid w:val="7CFEEB1F"/>
    <w:rsid w:val="7DF7200C"/>
    <w:rsid w:val="7DFF40FA"/>
    <w:rsid w:val="7E4B1CD3"/>
    <w:rsid w:val="7ECB38CE"/>
    <w:rsid w:val="7F634C9B"/>
    <w:rsid w:val="7FCF3827"/>
    <w:rsid w:val="7FDF2202"/>
    <w:rsid w:val="7FFA751A"/>
    <w:rsid w:val="87F52809"/>
    <w:rsid w:val="9F964450"/>
    <w:rsid w:val="9FB89DB4"/>
    <w:rsid w:val="A7FF2FD1"/>
    <w:rsid w:val="AF3B47B0"/>
    <w:rsid w:val="B6FD56D2"/>
    <w:rsid w:val="B7F94652"/>
    <w:rsid w:val="B85E98F7"/>
    <w:rsid w:val="BBBECC07"/>
    <w:rsid w:val="CF731F2D"/>
    <w:rsid w:val="CF7FC374"/>
    <w:rsid w:val="DBEF2CF3"/>
    <w:rsid w:val="EF3FF738"/>
    <w:rsid w:val="EFF72402"/>
    <w:rsid w:val="F3BFBD39"/>
    <w:rsid w:val="F8FFF7FB"/>
    <w:rsid w:val="FAAFB94D"/>
    <w:rsid w:val="FB69B255"/>
    <w:rsid w:val="FBFEB19D"/>
    <w:rsid w:val="FBFFDC82"/>
    <w:rsid w:val="FDF74187"/>
    <w:rsid w:val="FEEE1CA1"/>
    <w:rsid w:val="FF1F6E16"/>
    <w:rsid w:val="FF7B1C54"/>
    <w:rsid w:val="FFBE3E6B"/>
    <w:rsid w:val="FFE67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  <w:style w:type="character" w:customStyle="1" w:styleId="11">
    <w:name w:val="页眉 Char"/>
    <w:basedOn w:val="7"/>
    <w:link w:val="4"/>
    <w:semiHidden/>
    <w:qFormat/>
    <w:uiPriority w:val="99"/>
    <w:rPr>
      <w:kern w:val="2"/>
      <w:sz w:val="18"/>
      <w:szCs w:val="18"/>
    </w:rPr>
  </w:style>
  <w:style w:type="character" w:customStyle="1" w:styleId="12">
    <w:name w:val="页脚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1346</Words>
  <Characters>1388</Characters>
  <Lines>10</Lines>
  <Paragraphs>3</Paragraphs>
  <TotalTime>1</TotalTime>
  <ScaleCrop>false</ScaleCrop>
  <LinksUpToDate>false</LinksUpToDate>
  <CharactersWithSpaces>1510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2022-05-26T00:59:00Z</dcterms:created>
  <dc:creator>刘哲</dc:creator>
  <cp:lastModifiedBy> </cp:lastModifiedBy>
  <cp:lastPrinted>2022-06-29T05:57:00Z</cp:lastPrinted>
  <dcterms:modified xsi:type="dcterms:W3CDTF">2024-10-08T08:55:52Z</dcterms:modified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63427BD9A9DA46E6AF5BEF7C16CA6EA3</vt:lpwstr>
  </property>
</Properties>
</file>