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56BCF6">
      <w:pPr>
        <w:widowControl/>
        <w:spacing w:after="240" w:line="600" w:lineRule="exact"/>
        <w:rPr>
          <w:rFonts w:hint="default" w:ascii="Times New Roman" w:hAnsi="Times New Roman" w:eastAsia="小标宋" w:cs="Times New Roman"/>
          <w:sz w:val="40"/>
          <w:szCs w:val="44"/>
        </w:rPr>
      </w:pPr>
      <w:r>
        <w:rPr>
          <w:rFonts w:hint="default" w:ascii="Times New Roman" w:hAnsi="Times New Roman" w:eastAsia="黑体" w:cs="Times New Roman"/>
          <w:sz w:val="32"/>
          <w:szCs w:val="28"/>
        </w:rPr>
        <w:t>附件2</w:t>
      </w:r>
    </w:p>
    <w:p w14:paraId="588E8D3B">
      <w:pPr>
        <w:widowControl/>
        <w:spacing w:line="600" w:lineRule="exact"/>
        <w:jc w:val="center"/>
        <w:rPr>
          <w:rFonts w:hint="default" w:ascii="Times New Roman" w:hAnsi="Times New Roman" w:eastAsia="方正小标宋简体" w:cs="Times New Roman"/>
          <w:sz w:val="40"/>
          <w:szCs w:val="44"/>
        </w:rPr>
      </w:pPr>
      <w:bookmarkStart w:id="0" w:name="_GoBack"/>
      <w:r>
        <w:rPr>
          <w:rFonts w:hint="default" w:ascii="Times New Roman" w:hAnsi="Times New Roman" w:eastAsia="方正小标宋简体" w:cs="Times New Roman"/>
          <w:sz w:val="40"/>
          <w:szCs w:val="44"/>
        </w:rPr>
        <w:t>全国农作物病虫草害防治投入品防效调查方案</w:t>
      </w:r>
    </w:p>
    <w:bookmarkEnd w:id="0"/>
    <w:p w14:paraId="72478331">
      <w:pPr>
        <w:widowControl/>
        <w:spacing w:line="600" w:lineRule="exact"/>
        <w:rPr>
          <w:rFonts w:hint="default" w:ascii="Times New Roman" w:hAnsi="Times New Roman" w:eastAsia="仿宋_GB2312" w:cs="Times New Roman"/>
          <w:sz w:val="32"/>
          <w:szCs w:val="32"/>
        </w:rPr>
      </w:pPr>
    </w:p>
    <w:p w14:paraId="7587B7B1">
      <w:pPr>
        <w:widowControl/>
        <w:spacing w:line="58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科学评估病虫草害危害损失率，全面了解和掌握我国农作物病虫草害防治投入品在不同地区的防治效果，为分区域、分作物优化、推广绿色防控技术模式，推进绿色防控与统防统治融合发展提供数据支撑，2025年全国农技中心将在全国组织开展防治投入品防效调查工作。具体工作方案如下。</w:t>
      </w:r>
    </w:p>
    <w:p w14:paraId="0D50E951">
      <w:pPr>
        <w:spacing w:line="58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一、调查对象</w:t>
      </w:r>
    </w:p>
    <w:p w14:paraId="2FC485BE">
      <w:pPr>
        <w:spacing w:line="580" w:lineRule="exact"/>
        <w:ind w:firstLine="640" w:firstLineChars="200"/>
        <w:rPr>
          <w:rFonts w:hint="default" w:ascii="Times New Roman" w:hAnsi="Times New Roman" w:eastAsia="黑体" w:cs="Times New Roman"/>
          <w:sz w:val="32"/>
          <w:szCs w:val="32"/>
        </w:rPr>
      </w:pPr>
      <w:r>
        <w:rPr>
          <w:rFonts w:hint="default" w:ascii="Times New Roman" w:hAnsi="Times New Roman" w:eastAsia="仿宋_GB2312" w:cs="Times New Roman"/>
          <w:sz w:val="32"/>
          <w:szCs w:val="32"/>
        </w:rPr>
        <w:t>以小麦、水稻、玉米、马铃薯、油菜、大豆、蔬菜、果树、棉花等为主要调查作物，以一类、二类农作物病虫草害为重点调查防控对象，兼顾本地区重发新发病虫害。</w:t>
      </w:r>
    </w:p>
    <w:p w14:paraId="492C6601">
      <w:pPr>
        <w:spacing w:line="58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二、主要内容</w:t>
      </w:r>
    </w:p>
    <w:p w14:paraId="45B56999">
      <w:pPr>
        <w:widowControl/>
        <w:spacing w:line="58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调查生物农药、昆虫信息素、天敌昆虫以及当地常用的化学农药等防治投入品的+9防效。填报内容包括调查作物、防治对象、防治时间、防治投入品名称、实际投入用量、农药登记证号或生产企业、施用方法、防治效果、投入品成本以及作业成本等信息（见附表）。</w:t>
      </w:r>
    </w:p>
    <w:p w14:paraId="7CFF70AB">
      <w:pPr>
        <w:widowControl/>
        <w:spacing w:line="58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三、具体要求</w:t>
      </w:r>
    </w:p>
    <w:p w14:paraId="0EA0C6E1">
      <w:pPr>
        <w:widowControl/>
        <w:spacing w:line="58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每个省（区、市）以作物为主线，主要粮油作物组织15—20个县开展调查，经济和园艺作物组织8—10个县开展调查。调查采取点面结合方式开展，即包括各级植保机构开展的农药等防治投入品试验示范结果，专业化防治服务组织在开展防治作业时常用防治投入品用量和效果调查，也包括种植大户、合作社等农民自行开展病虫害防治的效果调查等。</w:t>
      </w:r>
    </w:p>
    <w:p w14:paraId="1672F905">
      <w:pPr>
        <w:widowControl/>
        <w:spacing w:line="58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承担各类防治投入品试验示范、植保贡献率评价试验的县要重点参与，收集各类试验结果数据及专业化防治服务组织（3—5家）的防治投入品用量和效果调查数据，以及定点调查3—5个种植户、合作社等农民自行开展病虫害防治的效果调查等</w:t>
      </w:r>
      <w:r>
        <w:rPr>
          <w:rFonts w:hint="default" w:ascii="Times New Roman" w:hAnsi="Times New Roman" w:eastAsia="仿宋_GB2312" w:cs="Times New Roman"/>
          <w:b/>
          <w:sz w:val="32"/>
          <w:szCs w:val="32"/>
        </w:rPr>
        <w:t>（可与农户用药定点调查工作结合开展）</w:t>
      </w:r>
      <w:r>
        <w:rPr>
          <w:rFonts w:hint="default" w:ascii="Times New Roman" w:hAnsi="Times New Roman" w:eastAsia="仿宋_GB2312" w:cs="Times New Roman"/>
          <w:sz w:val="32"/>
          <w:szCs w:val="32"/>
        </w:rPr>
        <w:t>，并按照要求进行填报。</w:t>
      </w:r>
    </w:p>
    <w:p w14:paraId="5C78E077">
      <w:pPr>
        <w:widowControl/>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（二）请参加调查的各级植保机构按照</w:t>
      </w:r>
      <w:r>
        <w:rPr>
          <w:rFonts w:hint="default" w:ascii="Times New Roman" w:hAnsi="Times New Roman" w:eastAsia="仿宋_GB2312" w:cs="Times New Roman"/>
          <w:b/>
          <w:sz w:val="32"/>
          <w:szCs w:val="32"/>
        </w:rPr>
        <w:t>即查即报</w:t>
      </w:r>
      <w:r>
        <w:rPr>
          <w:rFonts w:hint="default" w:ascii="Times New Roman" w:hAnsi="Times New Roman" w:eastAsia="仿宋_GB2312" w:cs="Times New Roman"/>
          <w:sz w:val="32"/>
          <w:szCs w:val="32"/>
        </w:rPr>
        <w:t>的原则，登录植保植检信息管理系统的“重大病虫防控管理—投入品防效”模块，及时进行填报。系统填报说明将以电子版下发。</w:t>
      </w:r>
    </w:p>
    <w:p w14:paraId="67251D0D">
      <w:pPr>
        <w:widowControl/>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（三）请各省级植保机构防治科及时登陆系统，对填报数据进行审核把关。</w:t>
      </w:r>
    </w:p>
    <w:p w14:paraId="415185B6">
      <w:pPr>
        <w:widowControl/>
        <w:jc w:val="left"/>
        <w:rPr>
          <w:rFonts w:hint="default" w:ascii="Times New Roman" w:hAnsi="Times New Roman" w:eastAsia="仿宋_GB2312" w:cs="Times New Roman"/>
          <w:sz w:val="32"/>
          <w:szCs w:val="32"/>
        </w:rPr>
        <w:sectPr>
          <w:footerReference r:id="rId3" w:type="default"/>
          <w:pgSz w:w="11906" w:h="16838"/>
          <w:pgMar w:top="1871" w:right="1587" w:bottom="1701" w:left="1588" w:header="851" w:footer="1247" w:gutter="0"/>
          <w:pgNumType w:fmt="decimal" w:start="2"/>
          <w:cols w:space="720" w:num="1"/>
          <w:rtlGutter w:val="0"/>
          <w:docGrid w:type="lines" w:linePitch="312" w:charSpace="0"/>
        </w:sectPr>
      </w:pPr>
    </w:p>
    <w:p w14:paraId="40BEFEAE">
      <w:pPr>
        <w:widowControl/>
        <w:spacing w:line="600" w:lineRule="exac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附表</w:t>
      </w:r>
    </w:p>
    <w:p w14:paraId="1E41B402">
      <w:pPr>
        <w:widowControl/>
        <w:spacing w:line="600" w:lineRule="exact"/>
        <w:jc w:val="center"/>
        <w:rPr>
          <w:rFonts w:hint="default" w:ascii="Times New Roman" w:hAnsi="Times New Roman" w:eastAsia="方正小标宋简体" w:cs="Times New Roman"/>
          <w:sz w:val="40"/>
          <w:szCs w:val="44"/>
        </w:rPr>
      </w:pPr>
      <w:r>
        <w:rPr>
          <w:rFonts w:hint="default" w:ascii="Times New Roman" w:hAnsi="Times New Roman" w:eastAsia="方正小标宋简体" w:cs="Times New Roman"/>
          <w:sz w:val="40"/>
          <w:szCs w:val="44"/>
        </w:rPr>
        <w:t>防治投入品防效调查表（系统填报）</w:t>
      </w:r>
    </w:p>
    <w:p w14:paraId="7B4FE541">
      <w:pPr>
        <w:widowControl/>
        <w:spacing w:line="600" w:lineRule="exact"/>
        <w:ind w:firstLine="645"/>
        <w:jc w:val="center"/>
        <w:rPr>
          <w:rFonts w:hint="default" w:ascii="Times New Roman" w:hAnsi="Times New Roman" w:eastAsia="小标宋" w:cs="Times New Roman"/>
          <w:sz w:val="40"/>
          <w:szCs w:val="44"/>
        </w:rPr>
      </w:pP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0"/>
        <w:gridCol w:w="1006"/>
        <w:gridCol w:w="1020"/>
        <w:gridCol w:w="1320"/>
        <w:gridCol w:w="1801"/>
        <w:gridCol w:w="1694"/>
        <w:gridCol w:w="1757"/>
        <w:gridCol w:w="1275"/>
        <w:gridCol w:w="1134"/>
        <w:gridCol w:w="1150"/>
      </w:tblGrid>
      <w:tr w14:paraId="4EB5C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0" w:type="dxa"/>
            <w:tcBorders>
              <w:top w:val="single" w:color="auto" w:sz="4" w:space="0"/>
              <w:left w:val="single" w:color="auto" w:sz="4" w:space="0"/>
              <w:bottom w:val="single" w:color="auto" w:sz="4" w:space="0"/>
              <w:right w:val="single" w:color="auto" w:sz="4" w:space="0"/>
            </w:tcBorders>
            <w:noWrap w:val="0"/>
            <w:vAlign w:val="center"/>
          </w:tcPr>
          <w:p w14:paraId="0CB59054">
            <w:pPr>
              <w:widowControl/>
              <w:spacing w:line="400" w:lineRule="exact"/>
              <w:jc w:val="center"/>
              <w:rPr>
                <w:rFonts w:hint="default" w:ascii="Times New Roman" w:hAnsi="Times New Roman" w:eastAsia="宋体" w:cs="Times New Roman"/>
                <w:b/>
                <w:bCs w:val="0"/>
                <w:sz w:val="24"/>
                <w:szCs w:val="24"/>
              </w:rPr>
            </w:pPr>
            <w:r>
              <w:rPr>
                <w:rFonts w:hint="default" w:ascii="Times New Roman" w:hAnsi="Times New Roman" w:eastAsia="宋体" w:cs="Times New Roman"/>
                <w:b/>
                <w:bCs w:val="0"/>
                <w:sz w:val="24"/>
                <w:szCs w:val="24"/>
              </w:rPr>
              <w:t>调查</w:t>
            </w:r>
          </w:p>
          <w:p w14:paraId="7B9EEEF3">
            <w:pPr>
              <w:widowControl/>
              <w:spacing w:line="400" w:lineRule="exact"/>
              <w:jc w:val="center"/>
              <w:rPr>
                <w:rFonts w:hint="default" w:ascii="Times New Roman" w:hAnsi="Times New Roman" w:eastAsia="宋体" w:cs="Times New Roman"/>
                <w:b/>
                <w:bCs w:val="0"/>
                <w:sz w:val="24"/>
                <w:szCs w:val="24"/>
              </w:rPr>
            </w:pPr>
            <w:r>
              <w:rPr>
                <w:rFonts w:hint="default" w:ascii="Times New Roman" w:hAnsi="Times New Roman" w:eastAsia="宋体" w:cs="Times New Roman"/>
                <w:b/>
                <w:bCs w:val="0"/>
                <w:sz w:val="24"/>
                <w:szCs w:val="24"/>
              </w:rPr>
              <w:t>作物</w:t>
            </w:r>
          </w:p>
        </w:tc>
        <w:tc>
          <w:tcPr>
            <w:tcW w:w="1006" w:type="dxa"/>
            <w:tcBorders>
              <w:top w:val="single" w:color="auto" w:sz="4" w:space="0"/>
              <w:left w:val="single" w:color="auto" w:sz="4" w:space="0"/>
              <w:bottom w:val="single" w:color="auto" w:sz="4" w:space="0"/>
              <w:right w:val="single" w:color="auto" w:sz="4" w:space="0"/>
            </w:tcBorders>
            <w:noWrap w:val="0"/>
            <w:vAlign w:val="center"/>
          </w:tcPr>
          <w:p w14:paraId="47D0B8AA">
            <w:pPr>
              <w:widowControl/>
              <w:spacing w:line="400" w:lineRule="exact"/>
              <w:jc w:val="center"/>
              <w:rPr>
                <w:rFonts w:hint="default" w:ascii="Times New Roman" w:hAnsi="Times New Roman" w:eastAsia="宋体" w:cs="Times New Roman"/>
                <w:b/>
                <w:bCs w:val="0"/>
                <w:sz w:val="24"/>
                <w:szCs w:val="24"/>
              </w:rPr>
            </w:pPr>
            <w:r>
              <w:rPr>
                <w:rFonts w:hint="default" w:ascii="Times New Roman" w:hAnsi="Times New Roman" w:eastAsia="宋体" w:cs="Times New Roman"/>
                <w:b/>
                <w:bCs w:val="0"/>
                <w:sz w:val="24"/>
                <w:szCs w:val="24"/>
              </w:rPr>
              <w:t>防治</w:t>
            </w:r>
          </w:p>
          <w:p w14:paraId="1562ED6F">
            <w:pPr>
              <w:widowControl/>
              <w:spacing w:line="400" w:lineRule="exact"/>
              <w:jc w:val="center"/>
              <w:rPr>
                <w:rFonts w:hint="default" w:ascii="Times New Roman" w:hAnsi="Times New Roman" w:eastAsia="宋体" w:cs="Times New Roman"/>
                <w:b/>
                <w:bCs w:val="0"/>
                <w:sz w:val="24"/>
                <w:szCs w:val="24"/>
              </w:rPr>
            </w:pPr>
            <w:r>
              <w:rPr>
                <w:rFonts w:hint="default" w:ascii="Times New Roman" w:hAnsi="Times New Roman" w:eastAsia="宋体" w:cs="Times New Roman"/>
                <w:b/>
                <w:bCs w:val="0"/>
                <w:sz w:val="24"/>
                <w:szCs w:val="24"/>
              </w:rPr>
              <w:t>对象</w:t>
            </w:r>
          </w:p>
        </w:tc>
        <w:tc>
          <w:tcPr>
            <w:tcW w:w="1020" w:type="dxa"/>
            <w:tcBorders>
              <w:top w:val="single" w:color="auto" w:sz="4" w:space="0"/>
              <w:left w:val="single" w:color="auto" w:sz="4" w:space="0"/>
              <w:bottom w:val="single" w:color="auto" w:sz="4" w:space="0"/>
              <w:right w:val="single" w:color="auto" w:sz="4" w:space="0"/>
            </w:tcBorders>
            <w:noWrap w:val="0"/>
            <w:vAlign w:val="center"/>
          </w:tcPr>
          <w:p w14:paraId="7EA50040">
            <w:pPr>
              <w:widowControl/>
              <w:spacing w:line="400" w:lineRule="exact"/>
              <w:jc w:val="center"/>
              <w:rPr>
                <w:rFonts w:hint="default" w:ascii="Times New Roman" w:hAnsi="Times New Roman" w:eastAsia="宋体" w:cs="Times New Roman"/>
                <w:b/>
                <w:bCs w:val="0"/>
                <w:sz w:val="24"/>
                <w:szCs w:val="24"/>
              </w:rPr>
            </w:pPr>
            <w:r>
              <w:rPr>
                <w:rFonts w:hint="default" w:ascii="Times New Roman" w:hAnsi="Times New Roman" w:eastAsia="宋体" w:cs="Times New Roman"/>
                <w:b/>
                <w:bCs w:val="0"/>
                <w:sz w:val="24"/>
                <w:szCs w:val="24"/>
              </w:rPr>
              <w:t>防治</w:t>
            </w:r>
          </w:p>
          <w:p w14:paraId="595FD31E">
            <w:pPr>
              <w:widowControl/>
              <w:spacing w:line="400" w:lineRule="exact"/>
              <w:jc w:val="center"/>
              <w:rPr>
                <w:rFonts w:hint="default" w:ascii="Times New Roman" w:hAnsi="Times New Roman" w:eastAsia="宋体" w:cs="Times New Roman"/>
                <w:b/>
                <w:bCs w:val="0"/>
                <w:sz w:val="24"/>
                <w:szCs w:val="24"/>
              </w:rPr>
            </w:pPr>
            <w:r>
              <w:rPr>
                <w:rFonts w:hint="default" w:ascii="Times New Roman" w:hAnsi="Times New Roman" w:eastAsia="宋体" w:cs="Times New Roman"/>
                <w:b/>
                <w:bCs w:val="0"/>
                <w:sz w:val="24"/>
                <w:szCs w:val="24"/>
              </w:rPr>
              <w:t>时间</w:t>
            </w:r>
          </w:p>
        </w:tc>
        <w:tc>
          <w:tcPr>
            <w:tcW w:w="1320" w:type="dxa"/>
            <w:tcBorders>
              <w:top w:val="single" w:color="auto" w:sz="4" w:space="0"/>
              <w:left w:val="single" w:color="auto" w:sz="4" w:space="0"/>
              <w:bottom w:val="single" w:color="auto" w:sz="4" w:space="0"/>
              <w:right w:val="single" w:color="auto" w:sz="4" w:space="0"/>
            </w:tcBorders>
            <w:noWrap w:val="0"/>
            <w:vAlign w:val="center"/>
          </w:tcPr>
          <w:p w14:paraId="183A81F5">
            <w:pPr>
              <w:widowControl/>
              <w:spacing w:line="400" w:lineRule="exact"/>
              <w:jc w:val="center"/>
              <w:rPr>
                <w:rFonts w:hint="default" w:ascii="Times New Roman" w:hAnsi="Times New Roman" w:eastAsia="宋体" w:cs="Times New Roman"/>
                <w:b/>
                <w:bCs w:val="0"/>
                <w:sz w:val="24"/>
                <w:szCs w:val="24"/>
              </w:rPr>
            </w:pPr>
            <w:r>
              <w:rPr>
                <w:rFonts w:hint="default" w:ascii="Times New Roman" w:hAnsi="Times New Roman" w:eastAsia="宋体" w:cs="Times New Roman"/>
                <w:b/>
                <w:bCs w:val="0"/>
                <w:sz w:val="24"/>
                <w:szCs w:val="24"/>
              </w:rPr>
              <w:t>投入品</w:t>
            </w:r>
          </w:p>
          <w:p w14:paraId="0FB07760">
            <w:pPr>
              <w:widowControl/>
              <w:spacing w:line="400" w:lineRule="exact"/>
              <w:jc w:val="center"/>
              <w:rPr>
                <w:rFonts w:hint="default" w:ascii="Times New Roman" w:hAnsi="Times New Roman" w:eastAsia="宋体" w:cs="Times New Roman"/>
                <w:b/>
                <w:bCs w:val="0"/>
                <w:sz w:val="24"/>
                <w:szCs w:val="24"/>
              </w:rPr>
            </w:pPr>
            <w:r>
              <w:rPr>
                <w:rFonts w:hint="default" w:ascii="Times New Roman" w:hAnsi="Times New Roman" w:eastAsia="宋体" w:cs="Times New Roman"/>
                <w:b/>
                <w:bCs w:val="0"/>
                <w:sz w:val="24"/>
                <w:szCs w:val="24"/>
              </w:rPr>
              <w:t>名称</w:t>
            </w:r>
          </w:p>
        </w:tc>
        <w:tc>
          <w:tcPr>
            <w:tcW w:w="1801" w:type="dxa"/>
            <w:tcBorders>
              <w:top w:val="single" w:color="auto" w:sz="4" w:space="0"/>
              <w:left w:val="single" w:color="auto" w:sz="4" w:space="0"/>
              <w:bottom w:val="single" w:color="auto" w:sz="4" w:space="0"/>
              <w:right w:val="single" w:color="auto" w:sz="4" w:space="0"/>
            </w:tcBorders>
            <w:noWrap w:val="0"/>
            <w:vAlign w:val="center"/>
          </w:tcPr>
          <w:p w14:paraId="0BE216B9">
            <w:pPr>
              <w:widowControl/>
              <w:spacing w:line="400" w:lineRule="exact"/>
              <w:jc w:val="center"/>
              <w:rPr>
                <w:rFonts w:hint="default" w:ascii="Times New Roman" w:hAnsi="Times New Roman" w:eastAsia="宋体" w:cs="Times New Roman"/>
                <w:b/>
                <w:bCs w:val="0"/>
                <w:sz w:val="24"/>
                <w:szCs w:val="24"/>
              </w:rPr>
            </w:pPr>
            <w:r>
              <w:rPr>
                <w:rFonts w:hint="default" w:ascii="Times New Roman" w:hAnsi="Times New Roman" w:eastAsia="宋体" w:cs="Times New Roman"/>
                <w:b/>
                <w:bCs w:val="0"/>
                <w:sz w:val="24"/>
                <w:szCs w:val="24"/>
              </w:rPr>
              <w:t>实际投</w:t>
            </w:r>
          </w:p>
          <w:p w14:paraId="6252E0C1">
            <w:pPr>
              <w:widowControl/>
              <w:spacing w:line="400" w:lineRule="exact"/>
              <w:jc w:val="center"/>
              <w:rPr>
                <w:rFonts w:hint="default" w:ascii="Times New Roman" w:hAnsi="Times New Roman" w:eastAsia="宋体" w:cs="Times New Roman"/>
                <w:b/>
                <w:bCs w:val="0"/>
                <w:sz w:val="24"/>
                <w:szCs w:val="24"/>
              </w:rPr>
            </w:pPr>
            <w:r>
              <w:rPr>
                <w:rFonts w:hint="default" w:ascii="Times New Roman" w:hAnsi="Times New Roman" w:eastAsia="宋体" w:cs="Times New Roman"/>
                <w:b/>
                <w:bCs w:val="0"/>
                <w:sz w:val="24"/>
                <w:szCs w:val="24"/>
              </w:rPr>
              <w:t>入品用量</w:t>
            </w:r>
          </w:p>
          <w:p w14:paraId="60D0034A">
            <w:pPr>
              <w:widowControl/>
              <w:spacing w:line="400" w:lineRule="exact"/>
              <w:jc w:val="center"/>
              <w:rPr>
                <w:rFonts w:hint="default" w:ascii="Times New Roman" w:hAnsi="Times New Roman" w:eastAsia="宋体" w:cs="Times New Roman"/>
                <w:b/>
                <w:bCs w:val="0"/>
                <w:sz w:val="24"/>
                <w:szCs w:val="24"/>
              </w:rPr>
            </w:pPr>
            <w:r>
              <w:rPr>
                <w:rFonts w:hint="default" w:ascii="Times New Roman" w:hAnsi="Times New Roman" w:eastAsia="宋体" w:cs="Times New Roman"/>
                <w:b/>
                <w:bCs w:val="0"/>
                <w:sz w:val="24"/>
                <w:szCs w:val="24"/>
              </w:rPr>
              <w:t>（克、毫升、个、盏、头/亩）</w:t>
            </w:r>
          </w:p>
        </w:tc>
        <w:tc>
          <w:tcPr>
            <w:tcW w:w="1694" w:type="dxa"/>
            <w:tcBorders>
              <w:top w:val="single" w:color="auto" w:sz="4" w:space="0"/>
              <w:left w:val="single" w:color="auto" w:sz="4" w:space="0"/>
              <w:bottom w:val="single" w:color="auto" w:sz="4" w:space="0"/>
              <w:right w:val="single" w:color="auto" w:sz="4" w:space="0"/>
            </w:tcBorders>
            <w:noWrap w:val="0"/>
            <w:vAlign w:val="center"/>
          </w:tcPr>
          <w:p w14:paraId="451FCB47">
            <w:pPr>
              <w:widowControl/>
              <w:spacing w:line="400" w:lineRule="exact"/>
              <w:jc w:val="center"/>
              <w:rPr>
                <w:rFonts w:hint="default" w:ascii="Times New Roman" w:hAnsi="Times New Roman" w:eastAsia="宋体" w:cs="Times New Roman"/>
                <w:b/>
                <w:bCs w:val="0"/>
                <w:sz w:val="24"/>
                <w:szCs w:val="24"/>
              </w:rPr>
            </w:pPr>
            <w:r>
              <w:rPr>
                <w:rFonts w:hint="default" w:ascii="Times New Roman" w:hAnsi="Times New Roman" w:eastAsia="宋体" w:cs="Times New Roman"/>
                <w:b/>
                <w:bCs w:val="0"/>
                <w:sz w:val="24"/>
                <w:szCs w:val="24"/>
              </w:rPr>
              <w:t>农药登记证号/生产企业</w:t>
            </w:r>
          </w:p>
        </w:tc>
        <w:tc>
          <w:tcPr>
            <w:tcW w:w="1757" w:type="dxa"/>
            <w:tcBorders>
              <w:top w:val="single" w:color="auto" w:sz="4" w:space="0"/>
              <w:left w:val="single" w:color="auto" w:sz="4" w:space="0"/>
              <w:bottom w:val="single" w:color="auto" w:sz="4" w:space="0"/>
              <w:right w:val="single" w:color="auto" w:sz="4" w:space="0"/>
            </w:tcBorders>
            <w:noWrap w:val="0"/>
            <w:vAlign w:val="center"/>
          </w:tcPr>
          <w:p w14:paraId="5C6DEF14">
            <w:pPr>
              <w:widowControl/>
              <w:spacing w:line="400" w:lineRule="exact"/>
              <w:jc w:val="center"/>
              <w:rPr>
                <w:rFonts w:hint="default" w:ascii="Times New Roman" w:hAnsi="Times New Roman" w:eastAsia="宋体" w:cs="Times New Roman"/>
                <w:b/>
                <w:bCs w:val="0"/>
                <w:sz w:val="24"/>
                <w:szCs w:val="24"/>
              </w:rPr>
            </w:pPr>
            <w:r>
              <w:rPr>
                <w:rFonts w:hint="default" w:ascii="Times New Roman" w:hAnsi="Times New Roman" w:eastAsia="宋体" w:cs="Times New Roman"/>
                <w:b/>
                <w:bCs w:val="0"/>
                <w:sz w:val="24"/>
                <w:szCs w:val="24"/>
              </w:rPr>
              <w:t>施用方法</w:t>
            </w:r>
          </w:p>
        </w:tc>
        <w:tc>
          <w:tcPr>
            <w:tcW w:w="1275" w:type="dxa"/>
            <w:tcBorders>
              <w:top w:val="single" w:color="auto" w:sz="4" w:space="0"/>
              <w:left w:val="single" w:color="auto" w:sz="4" w:space="0"/>
              <w:bottom w:val="single" w:color="auto" w:sz="4" w:space="0"/>
              <w:right w:val="single" w:color="auto" w:sz="4" w:space="0"/>
            </w:tcBorders>
            <w:noWrap w:val="0"/>
            <w:vAlign w:val="center"/>
          </w:tcPr>
          <w:p w14:paraId="09692318">
            <w:pPr>
              <w:widowControl/>
              <w:spacing w:line="400" w:lineRule="exact"/>
              <w:jc w:val="center"/>
              <w:rPr>
                <w:rFonts w:hint="default" w:ascii="Times New Roman" w:hAnsi="Times New Roman" w:eastAsia="宋体" w:cs="Times New Roman"/>
                <w:b/>
                <w:bCs w:val="0"/>
                <w:sz w:val="24"/>
                <w:szCs w:val="24"/>
              </w:rPr>
            </w:pPr>
            <w:r>
              <w:rPr>
                <w:rFonts w:hint="default" w:ascii="Times New Roman" w:hAnsi="Times New Roman" w:eastAsia="宋体" w:cs="Times New Roman"/>
                <w:b/>
                <w:bCs w:val="0"/>
                <w:sz w:val="24"/>
                <w:szCs w:val="24"/>
              </w:rPr>
              <w:t>防治</w:t>
            </w:r>
          </w:p>
          <w:p w14:paraId="288C279B">
            <w:pPr>
              <w:widowControl/>
              <w:spacing w:line="400" w:lineRule="exact"/>
              <w:jc w:val="center"/>
              <w:rPr>
                <w:rFonts w:hint="default" w:ascii="Times New Roman" w:hAnsi="Times New Roman" w:eastAsia="宋体" w:cs="Times New Roman"/>
                <w:b/>
                <w:bCs w:val="0"/>
                <w:sz w:val="24"/>
                <w:szCs w:val="24"/>
              </w:rPr>
            </w:pPr>
            <w:r>
              <w:rPr>
                <w:rFonts w:hint="default" w:ascii="Times New Roman" w:hAnsi="Times New Roman" w:eastAsia="宋体" w:cs="Times New Roman"/>
                <w:b/>
                <w:bCs w:val="0"/>
                <w:sz w:val="24"/>
                <w:szCs w:val="24"/>
              </w:rPr>
              <w:t>效果</w:t>
            </w:r>
          </w:p>
          <w:p w14:paraId="0AC3F315">
            <w:pPr>
              <w:widowControl/>
              <w:spacing w:line="400" w:lineRule="exact"/>
              <w:jc w:val="center"/>
              <w:rPr>
                <w:rFonts w:hint="default" w:ascii="Times New Roman" w:hAnsi="Times New Roman" w:eastAsia="宋体" w:cs="Times New Roman"/>
                <w:b/>
                <w:bCs w:val="0"/>
                <w:sz w:val="24"/>
                <w:szCs w:val="24"/>
              </w:rPr>
            </w:pPr>
            <w:r>
              <w:rPr>
                <w:rFonts w:hint="default" w:ascii="Times New Roman" w:hAnsi="Times New Roman" w:eastAsia="宋体" w:cs="Times New Roman"/>
                <w:b/>
                <w:bCs w:val="0"/>
                <w:sz w:val="24"/>
                <w:szCs w:val="24"/>
              </w:rPr>
              <w:t>（%）</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06FB0A8">
            <w:pPr>
              <w:widowControl/>
              <w:spacing w:line="400" w:lineRule="exact"/>
              <w:jc w:val="center"/>
              <w:rPr>
                <w:rFonts w:hint="default" w:ascii="Times New Roman" w:hAnsi="Times New Roman" w:eastAsia="宋体" w:cs="Times New Roman"/>
                <w:b/>
                <w:bCs w:val="0"/>
                <w:sz w:val="24"/>
                <w:szCs w:val="24"/>
              </w:rPr>
            </w:pPr>
            <w:r>
              <w:rPr>
                <w:rFonts w:hint="default" w:ascii="Times New Roman" w:hAnsi="Times New Roman" w:eastAsia="宋体" w:cs="Times New Roman"/>
                <w:b/>
                <w:bCs w:val="0"/>
                <w:sz w:val="24"/>
                <w:szCs w:val="24"/>
              </w:rPr>
              <w:t>投入品</w:t>
            </w:r>
          </w:p>
          <w:p w14:paraId="11249C91">
            <w:pPr>
              <w:widowControl/>
              <w:spacing w:line="400" w:lineRule="exact"/>
              <w:jc w:val="center"/>
              <w:rPr>
                <w:rFonts w:hint="default" w:ascii="Times New Roman" w:hAnsi="Times New Roman" w:eastAsia="宋体" w:cs="Times New Roman"/>
                <w:b/>
                <w:bCs w:val="0"/>
                <w:sz w:val="24"/>
                <w:szCs w:val="24"/>
              </w:rPr>
            </w:pPr>
            <w:r>
              <w:rPr>
                <w:rFonts w:hint="default" w:ascii="Times New Roman" w:hAnsi="Times New Roman" w:eastAsia="宋体" w:cs="Times New Roman"/>
                <w:b/>
                <w:bCs w:val="0"/>
                <w:sz w:val="24"/>
                <w:szCs w:val="24"/>
              </w:rPr>
              <w:t>成本</w:t>
            </w:r>
          </w:p>
          <w:p w14:paraId="7F79BD78">
            <w:pPr>
              <w:widowControl/>
              <w:spacing w:line="400" w:lineRule="exact"/>
              <w:jc w:val="center"/>
              <w:rPr>
                <w:rFonts w:hint="default" w:ascii="Times New Roman" w:hAnsi="Times New Roman" w:eastAsia="宋体" w:cs="Times New Roman"/>
                <w:b/>
                <w:bCs w:val="0"/>
                <w:sz w:val="24"/>
                <w:szCs w:val="24"/>
              </w:rPr>
            </w:pPr>
            <w:r>
              <w:rPr>
                <w:rFonts w:hint="default" w:ascii="Times New Roman" w:hAnsi="Times New Roman" w:eastAsia="宋体" w:cs="Times New Roman"/>
                <w:b/>
                <w:bCs w:val="0"/>
                <w:sz w:val="24"/>
                <w:szCs w:val="24"/>
              </w:rPr>
              <w:t>（元）</w:t>
            </w:r>
          </w:p>
        </w:tc>
        <w:tc>
          <w:tcPr>
            <w:tcW w:w="1150" w:type="dxa"/>
            <w:tcBorders>
              <w:top w:val="single" w:color="auto" w:sz="4" w:space="0"/>
              <w:left w:val="single" w:color="auto" w:sz="4" w:space="0"/>
              <w:bottom w:val="single" w:color="auto" w:sz="4" w:space="0"/>
              <w:right w:val="single" w:color="auto" w:sz="4" w:space="0"/>
            </w:tcBorders>
            <w:noWrap w:val="0"/>
            <w:vAlign w:val="center"/>
          </w:tcPr>
          <w:p w14:paraId="51F03A90">
            <w:pPr>
              <w:widowControl/>
              <w:spacing w:line="400" w:lineRule="exact"/>
              <w:jc w:val="center"/>
              <w:rPr>
                <w:rFonts w:hint="default" w:ascii="Times New Roman" w:hAnsi="Times New Roman" w:eastAsia="宋体" w:cs="Times New Roman"/>
                <w:b/>
                <w:bCs w:val="0"/>
                <w:sz w:val="24"/>
                <w:szCs w:val="24"/>
              </w:rPr>
            </w:pPr>
            <w:r>
              <w:rPr>
                <w:rFonts w:hint="default" w:ascii="Times New Roman" w:hAnsi="Times New Roman" w:eastAsia="宋体" w:cs="Times New Roman"/>
                <w:b/>
                <w:bCs w:val="0"/>
                <w:sz w:val="24"/>
                <w:szCs w:val="24"/>
              </w:rPr>
              <w:t>作业</w:t>
            </w:r>
          </w:p>
          <w:p w14:paraId="07FFC30B">
            <w:pPr>
              <w:widowControl/>
              <w:spacing w:line="400" w:lineRule="exact"/>
              <w:jc w:val="center"/>
              <w:rPr>
                <w:rFonts w:hint="default" w:ascii="Times New Roman" w:hAnsi="Times New Roman" w:eastAsia="宋体" w:cs="Times New Roman"/>
                <w:b/>
                <w:bCs w:val="0"/>
                <w:sz w:val="24"/>
                <w:szCs w:val="24"/>
              </w:rPr>
            </w:pPr>
            <w:r>
              <w:rPr>
                <w:rFonts w:hint="default" w:ascii="Times New Roman" w:hAnsi="Times New Roman" w:eastAsia="宋体" w:cs="Times New Roman"/>
                <w:b/>
                <w:bCs w:val="0"/>
                <w:sz w:val="24"/>
                <w:szCs w:val="24"/>
              </w:rPr>
              <w:t>成本</w:t>
            </w:r>
          </w:p>
          <w:p w14:paraId="30E4866B">
            <w:pPr>
              <w:widowControl/>
              <w:spacing w:line="400" w:lineRule="exact"/>
              <w:jc w:val="center"/>
              <w:rPr>
                <w:rFonts w:hint="default" w:ascii="Times New Roman" w:hAnsi="Times New Roman" w:eastAsia="宋体" w:cs="Times New Roman"/>
                <w:b/>
                <w:bCs w:val="0"/>
                <w:sz w:val="24"/>
                <w:szCs w:val="24"/>
              </w:rPr>
            </w:pPr>
            <w:r>
              <w:rPr>
                <w:rFonts w:hint="default" w:ascii="Times New Roman" w:hAnsi="Times New Roman" w:eastAsia="宋体" w:cs="Times New Roman"/>
                <w:b/>
                <w:bCs w:val="0"/>
                <w:sz w:val="24"/>
                <w:szCs w:val="24"/>
              </w:rPr>
              <w:t>（元）</w:t>
            </w:r>
          </w:p>
        </w:tc>
      </w:tr>
      <w:tr w14:paraId="46933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9" w:hRule="exact"/>
          <w:jc w:val="center"/>
        </w:trPr>
        <w:tc>
          <w:tcPr>
            <w:tcW w:w="1350" w:type="dxa"/>
            <w:tcBorders>
              <w:top w:val="single" w:color="auto" w:sz="4" w:space="0"/>
              <w:left w:val="single" w:color="auto" w:sz="4" w:space="0"/>
              <w:bottom w:val="single" w:color="auto" w:sz="4" w:space="0"/>
              <w:right w:val="single" w:color="auto" w:sz="4" w:space="0"/>
            </w:tcBorders>
            <w:noWrap w:val="0"/>
            <w:vAlign w:val="center"/>
          </w:tcPr>
          <w:p w14:paraId="232BCCE1">
            <w:pPr>
              <w:widowControl/>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例：小麦</w:t>
            </w:r>
          </w:p>
        </w:tc>
        <w:tc>
          <w:tcPr>
            <w:tcW w:w="1006" w:type="dxa"/>
            <w:tcBorders>
              <w:top w:val="single" w:color="auto" w:sz="4" w:space="0"/>
              <w:left w:val="single" w:color="auto" w:sz="4" w:space="0"/>
              <w:bottom w:val="single" w:color="auto" w:sz="4" w:space="0"/>
              <w:right w:val="single" w:color="auto" w:sz="4" w:space="0"/>
            </w:tcBorders>
            <w:noWrap w:val="0"/>
            <w:vAlign w:val="center"/>
          </w:tcPr>
          <w:p w14:paraId="2D3DD068">
            <w:pPr>
              <w:widowControl/>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赤霉病</w:t>
            </w:r>
          </w:p>
        </w:tc>
        <w:tc>
          <w:tcPr>
            <w:tcW w:w="1020" w:type="dxa"/>
            <w:tcBorders>
              <w:top w:val="single" w:color="auto" w:sz="4" w:space="0"/>
              <w:left w:val="single" w:color="auto" w:sz="4" w:space="0"/>
              <w:bottom w:val="single" w:color="auto" w:sz="4" w:space="0"/>
              <w:right w:val="single" w:color="auto" w:sz="4" w:space="0"/>
            </w:tcBorders>
            <w:noWrap w:val="0"/>
            <w:vAlign w:val="center"/>
          </w:tcPr>
          <w:p w14:paraId="4E02A7CF">
            <w:pPr>
              <w:widowControl/>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4月</w:t>
            </w:r>
          </w:p>
          <w:p w14:paraId="38D14449">
            <w:pPr>
              <w:widowControl/>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28日</w:t>
            </w:r>
          </w:p>
        </w:tc>
        <w:tc>
          <w:tcPr>
            <w:tcW w:w="1320" w:type="dxa"/>
            <w:tcBorders>
              <w:top w:val="single" w:color="auto" w:sz="4" w:space="0"/>
              <w:left w:val="single" w:color="auto" w:sz="4" w:space="0"/>
              <w:bottom w:val="single" w:color="auto" w:sz="4" w:space="0"/>
              <w:right w:val="single" w:color="auto" w:sz="4" w:space="0"/>
            </w:tcBorders>
            <w:noWrap w:val="0"/>
            <w:vAlign w:val="center"/>
          </w:tcPr>
          <w:p w14:paraId="56D01B0C">
            <w:pPr>
              <w:spacing w:line="400" w:lineRule="exac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40%丙硫菌唑·戊唑醇</w:t>
            </w:r>
          </w:p>
        </w:tc>
        <w:tc>
          <w:tcPr>
            <w:tcW w:w="1801" w:type="dxa"/>
            <w:tcBorders>
              <w:top w:val="single" w:color="auto" w:sz="4" w:space="0"/>
              <w:left w:val="single" w:color="auto" w:sz="4" w:space="0"/>
              <w:bottom w:val="single" w:color="auto" w:sz="4" w:space="0"/>
              <w:right w:val="single" w:color="auto" w:sz="4" w:space="0"/>
            </w:tcBorders>
            <w:noWrap w:val="0"/>
            <w:vAlign w:val="center"/>
          </w:tcPr>
          <w:p w14:paraId="64081407">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40</w:t>
            </w:r>
          </w:p>
        </w:tc>
        <w:tc>
          <w:tcPr>
            <w:tcW w:w="1694" w:type="dxa"/>
            <w:tcBorders>
              <w:top w:val="single" w:color="auto" w:sz="4" w:space="0"/>
              <w:left w:val="single" w:color="auto" w:sz="4" w:space="0"/>
              <w:bottom w:val="single" w:color="auto" w:sz="4" w:space="0"/>
              <w:right w:val="single" w:color="auto" w:sz="4" w:space="0"/>
            </w:tcBorders>
            <w:noWrap w:val="0"/>
            <w:vAlign w:val="center"/>
          </w:tcPr>
          <w:p w14:paraId="28B2F96D">
            <w:pPr>
              <w:spacing w:line="400" w:lineRule="exact"/>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"https://www.icama.cn/BasicdataSystem/pesticideRegistration/queryselect.do"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PD20230200</w:t>
            </w:r>
            <w:r>
              <w:rPr>
                <w:rFonts w:hint="default" w:ascii="Times New Roman" w:hAnsi="Times New Roman" w:eastAsia="宋体" w:cs="Times New Roman"/>
                <w:sz w:val="24"/>
                <w:szCs w:val="24"/>
              </w:rPr>
              <w:fldChar w:fldCharType="end"/>
            </w:r>
          </w:p>
        </w:tc>
        <w:tc>
          <w:tcPr>
            <w:tcW w:w="1757" w:type="dxa"/>
            <w:tcBorders>
              <w:top w:val="single" w:color="auto" w:sz="4" w:space="0"/>
              <w:left w:val="single" w:color="auto" w:sz="4" w:space="0"/>
              <w:bottom w:val="single" w:color="auto" w:sz="4" w:space="0"/>
              <w:right w:val="single" w:color="auto" w:sz="4" w:space="0"/>
            </w:tcBorders>
            <w:noWrap w:val="0"/>
            <w:vAlign w:val="center"/>
          </w:tcPr>
          <w:p w14:paraId="04EA94B9">
            <w:pPr>
              <w:spacing w:line="400" w:lineRule="exac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植保无人机每亩1.5升药液量</w:t>
            </w:r>
          </w:p>
        </w:tc>
        <w:tc>
          <w:tcPr>
            <w:tcW w:w="1275" w:type="dxa"/>
            <w:tcBorders>
              <w:top w:val="single" w:color="auto" w:sz="4" w:space="0"/>
              <w:left w:val="single" w:color="auto" w:sz="4" w:space="0"/>
              <w:bottom w:val="single" w:color="auto" w:sz="4" w:space="0"/>
              <w:right w:val="single" w:color="auto" w:sz="4" w:space="0"/>
            </w:tcBorders>
            <w:noWrap w:val="0"/>
            <w:vAlign w:val="center"/>
          </w:tcPr>
          <w:p w14:paraId="6AFB0012">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80</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00E6128">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8</w:t>
            </w:r>
          </w:p>
        </w:tc>
        <w:tc>
          <w:tcPr>
            <w:tcW w:w="1150" w:type="dxa"/>
            <w:tcBorders>
              <w:top w:val="single" w:color="auto" w:sz="4" w:space="0"/>
              <w:left w:val="single" w:color="auto" w:sz="4" w:space="0"/>
              <w:bottom w:val="single" w:color="auto" w:sz="4" w:space="0"/>
              <w:right w:val="single" w:color="auto" w:sz="4" w:space="0"/>
            </w:tcBorders>
            <w:noWrap w:val="0"/>
            <w:vAlign w:val="center"/>
          </w:tcPr>
          <w:p w14:paraId="4C245209">
            <w:pPr>
              <w:spacing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6</w:t>
            </w:r>
          </w:p>
        </w:tc>
      </w:tr>
      <w:tr w14:paraId="68641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1350" w:type="dxa"/>
            <w:tcBorders>
              <w:top w:val="single" w:color="auto" w:sz="4" w:space="0"/>
              <w:left w:val="single" w:color="auto" w:sz="4" w:space="0"/>
              <w:bottom w:val="single" w:color="auto" w:sz="4" w:space="0"/>
              <w:right w:val="single" w:color="auto" w:sz="4" w:space="0"/>
            </w:tcBorders>
            <w:noWrap w:val="0"/>
            <w:vAlign w:val="center"/>
          </w:tcPr>
          <w:p w14:paraId="3469F57F">
            <w:pPr>
              <w:widowControl/>
              <w:spacing w:line="400" w:lineRule="exact"/>
              <w:jc w:val="center"/>
              <w:rPr>
                <w:rFonts w:hint="default" w:ascii="Times New Roman" w:hAnsi="Times New Roman" w:eastAsia="宋体" w:cs="Times New Roman"/>
                <w:sz w:val="24"/>
                <w:szCs w:val="24"/>
              </w:rPr>
            </w:pPr>
          </w:p>
        </w:tc>
        <w:tc>
          <w:tcPr>
            <w:tcW w:w="1006" w:type="dxa"/>
            <w:tcBorders>
              <w:top w:val="single" w:color="auto" w:sz="4" w:space="0"/>
              <w:left w:val="single" w:color="auto" w:sz="4" w:space="0"/>
              <w:bottom w:val="single" w:color="auto" w:sz="4" w:space="0"/>
              <w:right w:val="single" w:color="auto" w:sz="4" w:space="0"/>
            </w:tcBorders>
            <w:noWrap w:val="0"/>
            <w:vAlign w:val="center"/>
          </w:tcPr>
          <w:p w14:paraId="0E68DEF8">
            <w:pPr>
              <w:widowControl/>
              <w:spacing w:line="400" w:lineRule="exact"/>
              <w:jc w:val="center"/>
              <w:rPr>
                <w:rFonts w:hint="default" w:ascii="Times New Roman" w:hAnsi="Times New Roman" w:eastAsia="宋体" w:cs="Times New Roman"/>
                <w:sz w:val="24"/>
                <w:szCs w:val="24"/>
              </w:rPr>
            </w:pPr>
          </w:p>
        </w:tc>
        <w:tc>
          <w:tcPr>
            <w:tcW w:w="1020" w:type="dxa"/>
            <w:tcBorders>
              <w:top w:val="single" w:color="auto" w:sz="4" w:space="0"/>
              <w:left w:val="single" w:color="auto" w:sz="4" w:space="0"/>
              <w:bottom w:val="single" w:color="auto" w:sz="4" w:space="0"/>
              <w:right w:val="single" w:color="auto" w:sz="4" w:space="0"/>
            </w:tcBorders>
            <w:noWrap w:val="0"/>
            <w:vAlign w:val="center"/>
          </w:tcPr>
          <w:p w14:paraId="21F331A0">
            <w:pPr>
              <w:widowControl/>
              <w:spacing w:line="400" w:lineRule="exact"/>
              <w:jc w:val="center"/>
              <w:rPr>
                <w:rFonts w:hint="default" w:ascii="Times New Roman" w:hAnsi="Times New Roman" w:eastAsia="宋体" w:cs="Times New Roman"/>
                <w:sz w:val="24"/>
                <w:szCs w:val="24"/>
              </w:rPr>
            </w:pPr>
          </w:p>
        </w:tc>
        <w:tc>
          <w:tcPr>
            <w:tcW w:w="1320" w:type="dxa"/>
            <w:tcBorders>
              <w:top w:val="single" w:color="auto" w:sz="4" w:space="0"/>
              <w:left w:val="single" w:color="auto" w:sz="4" w:space="0"/>
              <w:bottom w:val="single" w:color="auto" w:sz="4" w:space="0"/>
              <w:right w:val="single" w:color="auto" w:sz="4" w:space="0"/>
            </w:tcBorders>
            <w:noWrap w:val="0"/>
            <w:vAlign w:val="center"/>
          </w:tcPr>
          <w:p w14:paraId="18B805BC">
            <w:pPr>
              <w:widowControl/>
              <w:spacing w:line="400" w:lineRule="exact"/>
              <w:jc w:val="center"/>
              <w:rPr>
                <w:rFonts w:hint="default" w:ascii="Times New Roman" w:hAnsi="Times New Roman" w:eastAsia="宋体" w:cs="Times New Roman"/>
                <w:sz w:val="24"/>
                <w:szCs w:val="24"/>
              </w:rPr>
            </w:pPr>
          </w:p>
        </w:tc>
        <w:tc>
          <w:tcPr>
            <w:tcW w:w="1801" w:type="dxa"/>
            <w:tcBorders>
              <w:top w:val="single" w:color="auto" w:sz="4" w:space="0"/>
              <w:left w:val="single" w:color="auto" w:sz="4" w:space="0"/>
              <w:bottom w:val="single" w:color="auto" w:sz="4" w:space="0"/>
              <w:right w:val="single" w:color="auto" w:sz="4" w:space="0"/>
            </w:tcBorders>
            <w:noWrap w:val="0"/>
            <w:vAlign w:val="center"/>
          </w:tcPr>
          <w:p w14:paraId="0124797B">
            <w:pPr>
              <w:widowControl/>
              <w:spacing w:line="400" w:lineRule="exact"/>
              <w:jc w:val="center"/>
              <w:rPr>
                <w:rFonts w:hint="default" w:ascii="Times New Roman" w:hAnsi="Times New Roman" w:eastAsia="宋体" w:cs="Times New Roman"/>
                <w:sz w:val="24"/>
                <w:szCs w:val="24"/>
              </w:rPr>
            </w:pPr>
          </w:p>
        </w:tc>
        <w:tc>
          <w:tcPr>
            <w:tcW w:w="1694" w:type="dxa"/>
            <w:tcBorders>
              <w:top w:val="single" w:color="auto" w:sz="4" w:space="0"/>
              <w:left w:val="single" w:color="auto" w:sz="4" w:space="0"/>
              <w:bottom w:val="single" w:color="auto" w:sz="4" w:space="0"/>
              <w:right w:val="single" w:color="auto" w:sz="4" w:space="0"/>
            </w:tcBorders>
            <w:noWrap w:val="0"/>
            <w:vAlign w:val="center"/>
          </w:tcPr>
          <w:p w14:paraId="0DEEE565">
            <w:pPr>
              <w:widowControl/>
              <w:spacing w:line="400" w:lineRule="exact"/>
              <w:jc w:val="center"/>
              <w:rPr>
                <w:rFonts w:hint="default" w:ascii="Times New Roman" w:hAnsi="Times New Roman" w:eastAsia="宋体" w:cs="Times New Roman"/>
                <w:sz w:val="24"/>
                <w:szCs w:val="24"/>
              </w:rPr>
            </w:pPr>
          </w:p>
        </w:tc>
        <w:tc>
          <w:tcPr>
            <w:tcW w:w="1757" w:type="dxa"/>
            <w:tcBorders>
              <w:top w:val="single" w:color="auto" w:sz="4" w:space="0"/>
              <w:left w:val="single" w:color="auto" w:sz="4" w:space="0"/>
              <w:bottom w:val="single" w:color="auto" w:sz="4" w:space="0"/>
              <w:right w:val="single" w:color="auto" w:sz="4" w:space="0"/>
            </w:tcBorders>
            <w:noWrap w:val="0"/>
            <w:vAlign w:val="center"/>
          </w:tcPr>
          <w:p w14:paraId="03FA5B38">
            <w:pPr>
              <w:widowControl/>
              <w:spacing w:line="400" w:lineRule="exact"/>
              <w:jc w:val="center"/>
              <w:rPr>
                <w:rFonts w:hint="default" w:ascii="Times New Roman" w:hAnsi="Times New Roman" w:eastAsia="宋体" w:cs="Times New Roman"/>
                <w:sz w:val="24"/>
                <w:szCs w:val="24"/>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14:paraId="0770CCB9">
            <w:pPr>
              <w:widowControl/>
              <w:spacing w:line="400" w:lineRule="exact"/>
              <w:jc w:val="center"/>
              <w:rPr>
                <w:rFonts w:hint="default" w:ascii="Times New Roman" w:hAnsi="Times New Roman" w:eastAsia="宋体" w:cs="Times New Roman"/>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629FD4E">
            <w:pPr>
              <w:widowControl/>
              <w:spacing w:line="400" w:lineRule="exact"/>
              <w:jc w:val="center"/>
              <w:rPr>
                <w:rFonts w:hint="default" w:ascii="Times New Roman" w:hAnsi="Times New Roman" w:eastAsia="宋体" w:cs="Times New Roman"/>
                <w:sz w:val="24"/>
                <w:szCs w:val="24"/>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14:paraId="15295B4C">
            <w:pPr>
              <w:widowControl/>
              <w:spacing w:line="400" w:lineRule="exact"/>
              <w:jc w:val="center"/>
              <w:rPr>
                <w:rFonts w:hint="default" w:ascii="Times New Roman" w:hAnsi="Times New Roman" w:eastAsia="宋体" w:cs="Times New Roman"/>
                <w:sz w:val="24"/>
                <w:szCs w:val="24"/>
              </w:rPr>
            </w:pPr>
          </w:p>
        </w:tc>
      </w:tr>
    </w:tbl>
    <w:p w14:paraId="69E62522">
      <w:pPr>
        <w:snapToGrid w:val="0"/>
        <w:spacing w:line="14" w:lineRule="exact"/>
        <w:rPr>
          <w:rFonts w:hint="default" w:ascii="Times New Roman" w:hAnsi="Times New Roman" w:cs="Times New Roman"/>
        </w:rPr>
      </w:pPr>
    </w:p>
    <w:p w14:paraId="70F98271"/>
    <w:sectPr>
      <w:footerReference r:id="rId6" w:type="first"/>
      <w:footerReference r:id="rId4" w:type="default"/>
      <w:footerReference r:id="rId5" w:type="even"/>
      <w:pgSz w:w="16838" w:h="11906" w:orient="landscape"/>
      <w:pgMar w:top="1701" w:right="1701" w:bottom="1701" w:left="1701" w:header="851" w:footer="1247" w:gutter="0"/>
      <w:pgNumType w:fmt="decimal"/>
      <w:cols w:space="720" w:num="1"/>
      <w:titlePg/>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A230604-24A9-48F5-BB6E-A09B4E090FE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0B253099-C440-421E-8A3B-A61BDAE48AFB}"/>
  </w:font>
  <w:font w:name="小标宋">
    <w:altName w:val="Microsoft YaHei UI"/>
    <w:panose1 w:val="03000509000000000000"/>
    <w:charset w:val="86"/>
    <w:family w:val="script"/>
    <w:pitch w:val="default"/>
    <w:sig w:usb0="00000000" w:usb1="00000000" w:usb2="00000000" w:usb3="00000000" w:csb0="00040000" w:csb1="00000000"/>
    <w:embedRegular r:id="rId3" w:fontKey="{542971E8-EDB1-40B7-9D89-6E7AE45D5F1A}"/>
  </w:font>
  <w:font w:name="方正小标宋简体">
    <w:panose1 w:val="02000000000000000000"/>
    <w:charset w:val="86"/>
    <w:family w:val="script"/>
    <w:pitch w:val="default"/>
    <w:sig w:usb0="A00002BF" w:usb1="184F6CFA" w:usb2="00000012" w:usb3="00000000" w:csb0="00040001" w:csb1="00000000"/>
    <w:embedRegular r:id="rId4" w:fontKey="{1B2DB381-39BA-4FD8-AA2C-241D575175C7}"/>
  </w:font>
  <w:font w:name="仿宋_GB2312">
    <w:panose1 w:val="02010609030101010101"/>
    <w:charset w:val="86"/>
    <w:family w:val="modern"/>
    <w:pitch w:val="default"/>
    <w:sig w:usb0="00000001" w:usb1="080E0000" w:usb2="00000000" w:usb3="00000000" w:csb0="00040000" w:csb1="00000000"/>
    <w:embedRegular r:id="rId5" w:fontKey="{1BB00B18-0F86-41B7-8528-A33723DF0845}"/>
  </w:font>
  <w:font w:name="Microsoft YaHei UI">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AA5359">
    <w:pPr>
      <w:pStyle w:val="2"/>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1A6DF25">
                          <w:pPr>
                            <w:pStyle w:val="2"/>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path/>
              <v:fill on="f" focussize="0,0"/>
              <v:stroke on="f"/>
              <v:imagedata o:title=""/>
              <o:lock v:ext="edit" aspectratio="f"/>
              <v:textbox inset="0mm,0mm,0mm,0mm" style="mso-fit-shape-to-text:t;">
                <w:txbxContent>
                  <w:p w14:paraId="21A6DF25">
                    <w:pPr>
                      <w:pStyle w:val="2"/>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8B4554">
    <w:pPr>
      <w:pStyle w:val="2"/>
      <w:jc w:val="right"/>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221A3A6">
                          <w:pPr>
                            <w:pStyle w:val="2"/>
                            <w:jc w:val="right"/>
                          </w:pPr>
                          <w:r>
                            <w:t xml:space="preserve">— </w:t>
                          </w:r>
                          <w:r>
                            <w:fldChar w:fldCharType="begin"/>
                          </w:r>
                          <w:r>
                            <w:instrText xml:space="preserve"> PAGE  \* MERGEFORMAT </w:instrText>
                          </w:r>
                          <w:r>
                            <w:fldChar w:fldCharType="separate"/>
                          </w:r>
                          <w:r>
                            <w:t>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14:paraId="6221A3A6">
                    <w:pPr>
                      <w:pStyle w:val="2"/>
                      <w:jc w:val="right"/>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9C821F">
    <w:pPr>
      <w:pStyle w:val="2"/>
    </w:pPr>
    <w:r>
      <w:rPr>
        <w:rStyle w:val="5"/>
        <w:rFonts w:hint="eastAsia"/>
        <w:sz w:val="28"/>
        <w:szCs w:val="28"/>
      </w:rPr>
      <w:t>—</w:t>
    </w:r>
    <w:r>
      <w:rPr>
        <w:rStyle w:val="5"/>
        <w:sz w:val="28"/>
        <w:szCs w:val="28"/>
      </w:rPr>
      <w:t xml:space="preserve"> </w:t>
    </w:r>
    <w:r>
      <w:rPr>
        <w:rStyle w:val="5"/>
        <w:sz w:val="28"/>
        <w:szCs w:val="28"/>
      </w:rPr>
      <w:fldChar w:fldCharType="begin"/>
    </w:r>
    <w:r>
      <w:rPr>
        <w:rStyle w:val="5"/>
        <w:sz w:val="28"/>
        <w:szCs w:val="28"/>
      </w:rPr>
      <w:instrText xml:space="preserve">PAGE  </w:instrText>
    </w:r>
    <w:r>
      <w:rPr>
        <w:rStyle w:val="5"/>
        <w:sz w:val="28"/>
        <w:szCs w:val="28"/>
      </w:rPr>
      <w:fldChar w:fldCharType="separate"/>
    </w:r>
    <w:r>
      <w:rPr>
        <w:rStyle w:val="5"/>
        <w:sz w:val="28"/>
        <w:szCs w:val="28"/>
      </w:rPr>
      <w:t>14</w:t>
    </w:r>
    <w:r>
      <w:rPr>
        <w:rStyle w:val="5"/>
        <w:sz w:val="28"/>
        <w:szCs w:val="28"/>
      </w:rPr>
      <w:fldChar w:fldCharType="end"/>
    </w:r>
    <w:r>
      <w:rPr>
        <w:rStyle w:val="5"/>
        <w:sz w:val="28"/>
        <w:szCs w:val="28"/>
      </w:rPr>
      <w:t xml:space="preserve"> </w:t>
    </w:r>
    <w:r>
      <w:rPr>
        <w:rStyle w:val="5"/>
        <w:rFonts w:hint="eastAsia"/>
        <w:sz w:val="28"/>
        <w:szCs w:val="28"/>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83A4E8">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8E4678D">
                          <w:pPr>
                            <w:pStyle w:val="2"/>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10</w:t>
                          </w:r>
                          <w:r>
                            <w:rPr>
                              <w:sz w:val="24"/>
                              <w:szCs w:val="24"/>
                            </w:rPr>
                            <w:fldChar w:fldCharType="end"/>
                          </w:r>
                          <w:r>
                            <w:rPr>
                              <w:sz w:val="24"/>
                              <w:szCs w:val="24"/>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path/>
              <v:fill on="f" focussize="0,0"/>
              <v:stroke on="f"/>
              <v:imagedata o:title=""/>
              <o:lock v:ext="edit" aspectratio="f"/>
              <v:textbox inset="0mm,0mm,0mm,0mm" style="mso-fit-shape-to-text:t;">
                <w:txbxContent>
                  <w:p w14:paraId="38E4678D">
                    <w:pPr>
                      <w:pStyle w:val="2"/>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10</w:t>
                    </w:r>
                    <w:r>
                      <w:rPr>
                        <w:sz w:val="24"/>
                        <w:szCs w:val="24"/>
                      </w:rPr>
                      <w:fldChar w:fldCharType="end"/>
                    </w:r>
                    <w:r>
                      <w:rPr>
                        <w:sz w:val="24"/>
                        <w:szCs w:val="2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09699A"/>
    <w:rsid w:val="3D0969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character" w:styleId="5">
    <w:name w:val="page number"/>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2025-10-14T03:16:00Z</dcterms:created>
  <dc:creator>蕙</dc:creator>
  <cp:lastModifiedBy>蕙</cp:lastModifiedBy>
  <dcterms:modified xsi:type="dcterms:W3CDTF">2025-10-14T03:16:42Z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C329A7B88E4A40F9B7F52B7A23E56B22_11</vt:lpwstr>
  </property>
  <property fmtid="{D5CDD505-2E9C-101B-9397-08002B2CF9AE}" pid="4" name="KSOTemplateDocerSaveRecord">
    <vt:lpwstr>eyJoZGlkIjoiNWQ4ODQ3ODhhNjNlYjA4NGIyNGJmMGMxZTk1NGY3NjciLCJ1c2VySWQiOiIyODMxMDA3NjAifQ==</vt:lpwstr>
  </property>
</Properties>
</file>